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5FF6D27B" w:rsidR="00CF08C5" w:rsidRPr="00273211" w:rsidRDefault="00CF08C5" w:rsidP="00CF08C5">
      <w:pPr>
        <w:pStyle w:val="Corpodetexto2"/>
        <w:spacing w:before="120" w:line="312" w:lineRule="auto"/>
        <w:jc w:val="center"/>
        <w:rPr>
          <w:rFonts w:asciiTheme="minorHAnsi" w:hAnsiTheme="minorHAnsi" w:cstheme="minorHAnsi"/>
          <w:b w:val="0"/>
          <w:bCs w:val="0"/>
          <w:sz w:val="24"/>
        </w:rPr>
      </w:pPr>
      <w:r w:rsidRPr="00E83A78">
        <w:rPr>
          <w:rFonts w:asciiTheme="minorHAnsi" w:hAnsiTheme="minorHAnsi" w:cstheme="minorHAnsi"/>
          <w:b w:val="0"/>
          <w:bCs w:val="0"/>
          <w:sz w:val="24"/>
        </w:rPr>
        <w:t xml:space="preserve">RESOLUÇÃO CVM Nº </w:t>
      </w:r>
      <w:r w:rsidR="00E83A78" w:rsidRPr="00E83A78">
        <w:rPr>
          <w:rFonts w:asciiTheme="minorHAnsi" w:hAnsiTheme="minorHAnsi" w:cstheme="minorHAnsi"/>
          <w:b w:val="0"/>
          <w:bCs w:val="0"/>
          <w:sz w:val="24"/>
          <w:lang w:val="pt-BR"/>
        </w:rPr>
        <w:t>101</w:t>
      </w:r>
      <w:r w:rsidRPr="00E83A78">
        <w:rPr>
          <w:rFonts w:asciiTheme="minorHAnsi" w:hAnsiTheme="minorHAnsi" w:cstheme="minorHAnsi"/>
          <w:b w:val="0"/>
          <w:bCs w:val="0"/>
          <w:sz w:val="24"/>
        </w:rPr>
        <w:t xml:space="preserve">, DE </w:t>
      </w:r>
      <w:r w:rsidR="00E83A78" w:rsidRPr="00E83A78">
        <w:rPr>
          <w:rFonts w:asciiTheme="minorHAnsi" w:hAnsiTheme="minorHAnsi" w:cstheme="minorHAnsi"/>
          <w:b w:val="0"/>
          <w:bCs w:val="0"/>
          <w:sz w:val="24"/>
          <w:lang w:val="pt-BR"/>
        </w:rPr>
        <w:t xml:space="preserve">20 </w:t>
      </w:r>
      <w:r w:rsidRPr="00E83A78">
        <w:rPr>
          <w:rFonts w:asciiTheme="minorHAnsi" w:hAnsiTheme="minorHAnsi" w:cstheme="minorHAnsi"/>
          <w:b w:val="0"/>
          <w:bCs w:val="0"/>
          <w:sz w:val="24"/>
        </w:rPr>
        <w:t xml:space="preserve">DE </w:t>
      </w:r>
      <w:r w:rsidR="00E83A78" w:rsidRPr="00E83A78">
        <w:rPr>
          <w:rFonts w:asciiTheme="minorHAnsi" w:hAnsiTheme="minorHAnsi" w:cstheme="minorHAnsi"/>
          <w:b w:val="0"/>
          <w:bCs w:val="0"/>
          <w:sz w:val="24"/>
          <w:lang w:val="pt-BR"/>
        </w:rPr>
        <w:t xml:space="preserve">MAIO </w:t>
      </w:r>
      <w:r w:rsidRPr="00E83A78">
        <w:rPr>
          <w:rFonts w:asciiTheme="minorHAnsi" w:hAnsiTheme="minorHAnsi" w:cstheme="minorHAnsi"/>
          <w:b w:val="0"/>
          <w:bCs w:val="0"/>
          <w:sz w:val="24"/>
        </w:rPr>
        <w:t>DE 202</w:t>
      </w:r>
      <w:r w:rsidR="007162E7" w:rsidRPr="00E83A78">
        <w:rPr>
          <w:rFonts w:asciiTheme="minorHAnsi" w:hAnsiTheme="minorHAnsi" w:cstheme="minorHAnsi"/>
          <w:b w:val="0"/>
          <w:bCs w:val="0"/>
          <w:sz w:val="24"/>
          <w:lang w:val="pt-BR"/>
        </w:rPr>
        <w:t>2</w:t>
      </w:r>
    </w:p>
    <w:p w14:paraId="5B546EE5" w14:textId="768BA84F" w:rsidR="00CF08C5" w:rsidRPr="00273211" w:rsidRDefault="00CF08C5" w:rsidP="00CF08C5">
      <w:pPr>
        <w:pStyle w:val="Recuodecorpodetexto"/>
        <w:spacing w:before="240" w:after="240" w:line="312" w:lineRule="auto"/>
        <w:ind w:left="4746" w:firstLine="0"/>
        <w:rPr>
          <w:rFonts w:asciiTheme="minorHAnsi" w:hAnsiTheme="minorHAnsi" w:cstheme="minorHAnsi"/>
          <w:iCs/>
          <w:sz w:val="24"/>
        </w:rPr>
      </w:pPr>
      <w:r w:rsidRPr="00273211">
        <w:rPr>
          <w:rFonts w:asciiTheme="minorHAnsi" w:hAnsiTheme="minorHAnsi" w:cstheme="minorHAnsi"/>
          <w:iCs/>
          <w:sz w:val="24"/>
        </w:rPr>
        <w:t xml:space="preserve">Aprova </w:t>
      </w:r>
      <w:r w:rsidR="006D6F65">
        <w:rPr>
          <w:rFonts w:asciiTheme="minorHAnsi" w:hAnsiTheme="minorHAnsi" w:cstheme="minorHAnsi"/>
          <w:iCs/>
          <w:sz w:val="24"/>
        </w:rPr>
        <w:t>a C</w:t>
      </w:r>
      <w:r w:rsidR="007162E7">
        <w:rPr>
          <w:rFonts w:asciiTheme="minorHAnsi" w:hAnsiTheme="minorHAnsi" w:cstheme="minorHAnsi"/>
          <w:iCs/>
          <w:sz w:val="24"/>
        </w:rPr>
        <w:t>onsolidação d</w:t>
      </w:r>
      <w:r w:rsidRPr="00273211">
        <w:rPr>
          <w:rFonts w:asciiTheme="minorHAnsi" w:hAnsiTheme="minorHAnsi" w:cstheme="minorHAnsi"/>
          <w:iCs/>
          <w:sz w:val="24"/>
        </w:rPr>
        <w:t xml:space="preserve">o Pronunciamento Técnico CPC </w:t>
      </w:r>
      <w:r w:rsidR="00165103">
        <w:rPr>
          <w:rFonts w:asciiTheme="minorHAnsi" w:hAnsiTheme="minorHAnsi" w:cstheme="minorHAnsi"/>
          <w:iCs/>
          <w:sz w:val="24"/>
        </w:rPr>
        <w:t>20</w:t>
      </w:r>
      <w:r w:rsidR="008C0534">
        <w:rPr>
          <w:rFonts w:asciiTheme="minorHAnsi" w:hAnsiTheme="minorHAnsi" w:cstheme="minorHAnsi"/>
          <w:iCs/>
          <w:sz w:val="24"/>
        </w:rPr>
        <w:t>(R1)</w:t>
      </w:r>
      <w:r w:rsidRPr="00273211">
        <w:rPr>
          <w:rFonts w:asciiTheme="minorHAnsi" w:hAnsiTheme="minorHAnsi" w:cstheme="minorHAnsi"/>
          <w:iCs/>
          <w:sz w:val="24"/>
        </w:rPr>
        <w:t xml:space="preserve"> do Comitê de Pronunciamentos Contábeis</w:t>
      </w:r>
      <w:r w:rsidR="00C847A0">
        <w:rPr>
          <w:rFonts w:asciiTheme="minorHAnsi" w:hAnsiTheme="minorHAnsi" w:cstheme="minorHAnsi"/>
          <w:iCs/>
          <w:sz w:val="24"/>
        </w:rPr>
        <w:t xml:space="preserve"> – CPC</w:t>
      </w:r>
      <w:r w:rsidRPr="00273211">
        <w:rPr>
          <w:rFonts w:asciiTheme="minorHAnsi" w:hAnsiTheme="minorHAnsi" w:cstheme="minorHAnsi"/>
          <w:iCs/>
          <w:sz w:val="24"/>
        </w:rPr>
        <w:t xml:space="preserve">, </w:t>
      </w:r>
      <w:bookmarkStart w:id="0" w:name="_GoBack"/>
      <w:bookmarkEnd w:id="0"/>
      <w:r w:rsidRPr="00273211">
        <w:rPr>
          <w:rFonts w:asciiTheme="minorHAnsi" w:hAnsiTheme="minorHAnsi" w:cstheme="minorHAnsi"/>
          <w:iCs/>
          <w:sz w:val="24"/>
        </w:rPr>
        <w:t xml:space="preserve">que trata </w:t>
      </w:r>
      <w:r w:rsidR="00C847A0">
        <w:rPr>
          <w:rFonts w:asciiTheme="minorHAnsi" w:hAnsiTheme="minorHAnsi" w:cstheme="minorHAnsi"/>
          <w:iCs/>
          <w:sz w:val="24"/>
        </w:rPr>
        <w:t xml:space="preserve">de </w:t>
      </w:r>
      <w:r w:rsidR="00165103">
        <w:rPr>
          <w:rFonts w:asciiTheme="minorHAnsi" w:hAnsiTheme="minorHAnsi" w:cstheme="minorHAnsi"/>
          <w:iCs/>
          <w:sz w:val="24"/>
        </w:rPr>
        <w:t>custos de empréstimos</w:t>
      </w:r>
      <w:r w:rsidRPr="00273211">
        <w:rPr>
          <w:rFonts w:asciiTheme="minorHAnsi" w:hAnsiTheme="minorHAnsi" w:cstheme="minorHAnsi"/>
          <w:iCs/>
          <w:sz w:val="24"/>
        </w:rPr>
        <w:t>.</w:t>
      </w:r>
    </w:p>
    <w:p w14:paraId="7D45C359" w14:textId="0BB053ED" w:rsidR="00CF08C5" w:rsidRPr="00273211" w:rsidRDefault="00CF08C5" w:rsidP="00CF08C5">
      <w:pPr>
        <w:pStyle w:val="Corpodetexto2"/>
        <w:spacing w:before="120" w:line="312" w:lineRule="auto"/>
        <w:ind w:firstLine="567"/>
        <w:rPr>
          <w:rFonts w:asciiTheme="minorHAnsi" w:hAnsiTheme="minorHAnsi" w:cstheme="minorHAnsi"/>
          <w:b w:val="0"/>
          <w:bCs w:val="0"/>
          <w:sz w:val="24"/>
        </w:rPr>
      </w:pPr>
      <w:r w:rsidRPr="00273211">
        <w:rPr>
          <w:rFonts w:asciiTheme="minorHAnsi" w:hAnsiTheme="minorHAnsi" w:cstheme="minorHAnsi"/>
          <w:b w:val="0"/>
          <w:bCs w:val="0"/>
          <w:sz w:val="24"/>
        </w:rPr>
        <w:t xml:space="preserve">O </w:t>
      </w:r>
      <w:r w:rsidRPr="00273211">
        <w:rPr>
          <w:rFonts w:asciiTheme="minorHAnsi" w:hAnsiTheme="minorHAnsi" w:cstheme="minorHAnsi"/>
          <w:sz w:val="24"/>
        </w:rPr>
        <w:t>PRESIDENTE DA COMISSÃO DE VALORES MOBILIÁRIOS - CVM</w:t>
      </w:r>
      <w:r w:rsidRPr="00273211">
        <w:rPr>
          <w:rFonts w:asciiTheme="minorHAnsi" w:hAnsiTheme="minorHAnsi" w:cstheme="minorHAnsi"/>
          <w:b w:val="0"/>
          <w:bCs w:val="0"/>
          <w:sz w:val="24"/>
        </w:rPr>
        <w:t xml:space="preserve"> torna público que o Colegiado, em reunião realizada em </w:t>
      </w:r>
      <w:r w:rsidR="00457AC6">
        <w:rPr>
          <w:rFonts w:asciiTheme="minorHAnsi" w:hAnsiTheme="minorHAnsi" w:cstheme="minorHAnsi"/>
          <w:b w:val="0"/>
          <w:bCs w:val="0"/>
          <w:sz w:val="24"/>
          <w:lang w:val="pt-BR"/>
        </w:rPr>
        <w:t>14 de abril</w:t>
      </w:r>
      <w:r w:rsidRPr="00273211">
        <w:rPr>
          <w:rFonts w:asciiTheme="minorHAnsi" w:hAnsiTheme="minorHAnsi" w:cstheme="minorHAnsi"/>
          <w:b w:val="0"/>
          <w:bCs w:val="0"/>
          <w:sz w:val="24"/>
        </w:rPr>
        <w:t xml:space="preserve"> de 202</w:t>
      </w:r>
      <w:r w:rsidR="007162E7">
        <w:rPr>
          <w:rFonts w:asciiTheme="minorHAnsi" w:hAnsiTheme="minorHAnsi" w:cstheme="minorHAnsi"/>
          <w:b w:val="0"/>
          <w:bCs w:val="0"/>
          <w:sz w:val="24"/>
          <w:lang w:val="pt-BR"/>
        </w:rPr>
        <w:t>2</w:t>
      </w:r>
      <w:r w:rsidRPr="00273211">
        <w:rPr>
          <w:rFonts w:asciiTheme="minorHAnsi" w:hAnsiTheme="minorHAnsi" w:cstheme="minorHAnsi"/>
          <w:b w:val="0"/>
          <w:bCs w:val="0"/>
          <w:sz w:val="24"/>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273211">
        <w:rPr>
          <w:rFonts w:asciiTheme="minorHAnsi" w:hAnsiTheme="minorHAnsi" w:cstheme="minorHAnsi"/>
          <w:sz w:val="24"/>
        </w:rPr>
        <w:t>APROVOU</w:t>
      </w:r>
      <w:r w:rsidRPr="00273211">
        <w:rPr>
          <w:rFonts w:asciiTheme="minorHAnsi" w:hAnsiTheme="minorHAnsi" w:cstheme="minorHAnsi"/>
          <w:b w:val="0"/>
          <w:bCs w:val="0"/>
          <w:sz w:val="24"/>
        </w:rPr>
        <w:t xml:space="preserve"> a seguinte Resolução:</w:t>
      </w:r>
    </w:p>
    <w:p w14:paraId="4EBD8632" w14:textId="3AD9920D"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 xml:space="preserve">Art. 1º  Torna obrigatório para as companhias abertas o Pronunciamento Técnico CPC </w:t>
      </w:r>
      <w:r w:rsidR="00165103">
        <w:rPr>
          <w:rFonts w:asciiTheme="minorHAnsi" w:hAnsiTheme="minorHAnsi" w:cstheme="minorHAnsi"/>
          <w:sz w:val="24"/>
        </w:rPr>
        <w:t>20</w:t>
      </w:r>
      <w:r w:rsidR="008C0534">
        <w:rPr>
          <w:rFonts w:asciiTheme="minorHAnsi" w:hAnsiTheme="minorHAnsi" w:cstheme="minorHAnsi"/>
          <w:sz w:val="24"/>
        </w:rPr>
        <w:t>(R1)</w:t>
      </w:r>
      <w:r w:rsidR="007162E7" w:rsidRPr="00273211">
        <w:rPr>
          <w:rFonts w:asciiTheme="minorHAnsi" w:hAnsiTheme="minorHAnsi" w:cstheme="minorHAnsi"/>
          <w:sz w:val="24"/>
        </w:rPr>
        <w:t xml:space="preserve">, que trata </w:t>
      </w:r>
      <w:r w:rsidR="007162E7">
        <w:rPr>
          <w:rFonts w:asciiTheme="minorHAnsi" w:hAnsiTheme="minorHAnsi" w:cstheme="minorHAnsi"/>
          <w:sz w:val="24"/>
        </w:rPr>
        <w:t>de custos de empréstimos,</w:t>
      </w:r>
      <w:r w:rsidRPr="00273211">
        <w:rPr>
          <w:rFonts w:asciiTheme="minorHAnsi" w:hAnsiTheme="minorHAnsi" w:cstheme="minorHAnsi"/>
          <w:sz w:val="24"/>
        </w:rPr>
        <w:t xml:space="preserve"> emitido pelo Comitê de Pronunciamentos Contábeis - CPC, </w:t>
      </w:r>
      <w:r w:rsidR="007162E7">
        <w:rPr>
          <w:rFonts w:asciiTheme="minorHAnsi" w:hAnsiTheme="minorHAnsi" w:cstheme="minorHAnsi"/>
          <w:sz w:val="24"/>
        </w:rPr>
        <w:t>conforme consolidado no A</w:t>
      </w:r>
      <w:r w:rsidRPr="00273211">
        <w:rPr>
          <w:rFonts w:asciiTheme="minorHAnsi" w:hAnsiTheme="minorHAnsi" w:cstheme="minorHAnsi"/>
          <w:sz w:val="24"/>
        </w:rPr>
        <w:t>nexo</w:t>
      </w:r>
      <w:r w:rsidR="007162E7">
        <w:rPr>
          <w:rFonts w:asciiTheme="minorHAnsi" w:hAnsiTheme="minorHAnsi" w:cstheme="minorHAnsi"/>
          <w:sz w:val="24"/>
        </w:rPr>
        <w:t xml:space="preserve"> “A”</w:t>
      </w:r>
      <w:r w:rsidRPr="00273211">
        <w:rPr>
          <w:rFonts w:asciiTheme="minorHAnsi" w:hAnsiTheme="minorHAnsi" w:cstheme="minorHAnsi"/>
          <w:sz w:val="24"/>
        </w:rPr>
        <w:t xml:space="preserve"> à presente Resolução</w:t>
      </w:r>
      <w:r w:rsidR="00381A25">
        <w:rPr>
          <w:rFonts w:asciiTheme="minorHAnsi" w:hAnsiTheme="minorHAnsi" w:cstheme="minorHAnsi"/>
          <w:sz w:val="24"/>
        </w:rPr>
        <w:t>.</w:t>
      </w:r>
    </w:p>
    <w:p w14:paraId="4E2C13E3" w14:textId="0BEC8B9C"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2º  </w:t>
      </w:r>
      <w:r w:rsidRPr="00273211">
        <w:rPr>
          <w:rFonts w:asciiTheme="minorHAnsi" w:hAnsiTheme="minorHAnsi" w:cstheme="minorHAnsi"/>
          <w:color w:val="000000" w:themeColor="text1"/>
          <w:sz w:val="24"/>
        </w:rPr>
        <w:t xml:space="preserve">Fica revogada a Deliberação </w:t>
      </w:r>
      <w:r w:rsidR="00165103">
        <w:rPr>
          <w:rFonts w:asciiTheme="minorHAnsi" w:hAnsiTheme="minorHAnsi" w:cstheme="minorHAnsi"/>
          <w:color w:val="000000" w:themeColor="text1"/>
          <w:sz w:val="24"/>
        </w:rPr>
        <w:t>6</w:t>
      </w:r>
      <w:r w:rsidR="00381A25">
        <w:rPr>
          <w:rFonts w:asciiTheme="minorHAnsi" w:hAnsiTheme="minorHAnsi" w:cstheme="minorHAnsi"/>
          <w:color w:val="000000" w:themeColor="text1"/>
          <w:sz w:val="24"/>
        </w:rPr>
        <w:t>7</w:t>
      </w:r>
      <w:r w:rsidR="00165103">
        <w:rPr>
          <w:rFonts w:asciiTheme="minorHAnsi" w:hAnsiTheme="minorHAnsi" w:cstheme="minorHAnsi"/>
          <w:color w:val="000000" w:themeColor="text1"/>
          <w:sz w:val="24"/>
        </w:rPr>
        <w:t>2</w:t>
      </w:r>
      <w:r w:rsidRPr="00273211">
        <w:rPr>
          <w:rFonts w:asciiTheme="minorHAnsi" w:hAnsiTheme="minorHAnsi" w:cstheme="minorHAnsi"/>
          <w:color w:val="000000" w:themeColor="text1"/>
          <w:sz w:val="24"/>
        </w:rPr>
        <w:t xml:space="preserve">, de </w:t>
      </w:r>
      <w:r w:rsidR="00165103">
        <w:rPr>
          <w:rFonts w:asciiTheme="minorHAnsi" w:hAnsiTheme="minorHAnsi" w:cstheme="minorHAnsi"/>
          <w:color w:val="000000" w:themeColor="text1"/>
          <w:sz w:val="24"/>
        </w:rPr>
        <w:t>20</w:t>
      </w:r>
      <w:r w:rsidRPr="00273211">
        <w:rPr>
          <w:rFonts w:asciiTheme="minorHAnsi" w:hAnsiTheme="minorHAnsi" w:cstheme="minorHAnsi"/>
          <w:color w:val="000000" w:themeColor="text1"/>
          <w:sz w:val="24"/>
        </w:rPr>
        <w:t xml:space="preserve"> de </w:t>
      </w:r>
      <w:r w:rsidR="00165103">
        <w:rPr>
          <w:rFonts w:asciiTheme="minorHAnsi" w:hAnsiTheme="minorHAnsi" w:cstheme="minorHAnsi"/>
          <w:color w:val="000000" w:themeColor="text1"/>
          <w:sz w:val="24"/>
        </w:rPr>
        <w:t>outubro</w:t>
      </w:r>
      <w:r w:rsidRPr="00273211">
        <w:rPr>
          <w:rFonts w:asciiTheme="minorHAnsi" w:hAnsiTheme="minorHAnsi" w:cstheme="minorHAnsi"/>
          <w:color w:val="000000" w:themeColor="text1"/>
          <w:sz w:val="24"/>
        </w:rPr>
        <w:t xml:space="preserve"> de 20</w:t>
      </w:r>
      <w:r w:rsidR="00165103">
        <w:rPr>
          <w:rFonts w:asciiTheme="minorHAnsi" w:hAnsiTheme="minorHAnsi" w:cstheme="minorHAnsi"/>
          <w:color w:val="000000" w:themeColor="text1"/>
          <w:sz w:val="24"/>
        </w:rPr>
        <w:t>11</w:t>
      </w:r>
      <w:r w:rsidR="00C85C5E">
        <w:rPr>
          <w:rFonts w:asciiTheme="minorHAnsi" w:hAnsiTheme="minorHAnsi" w:cstheme="minorHAnsi"/>
          <w:color w:val="000000" w:themeColor="text1"/>
          <w:sz w:val="24"/>
        </w:rPr>
        <w:t>, a partir da vigência desta Resolução</w:t>
      </w:r>
      <w:r w:rsidRPr="00273211">
        <w:rPr>
          <w:rFonts w:asciiTheme="minorHAnsi" w:hAnsiTheme="minorHAnsi" w:cstheme="minorHAnsi"/>
          <w:sz w:val="24"/>
        </w:rPr>
        <w:t>.</w:t>
      </w:r>
    </w:p>
    <w:p w14:paraId="7C1D6C73" w14:textId="55742C75"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3º  Esta Resolução entra em vigor </w:t>
      </w:r>
      <w:r w:rsidRPr="00273211">
        <w:rPr>
          <w:rFonts w:asciiTheme="minorHAnsi" w:hAnsiTheme="minorHAnsi" w:cstheme="minorHAnsi"/>
          <w:color w:val="000000" w:themeColor="text1"/>
          <w:sz w:val="24"/>
        </w:rPr>
        <w:t xml:space="preserve">em </w:t>
      </w:r>
      <w:r w:rsidRPr="00C85C5E">
        <w:rPr>
          <w:rFonts w:asciiTheme="minorHAnsi" w:hAnsiTheme="minorHAnsi" w:cstheme="minorHAnsi"/>
          <w:color w:val="000000" w:themeColor="text1"/>
          <w:sz w:val="24"/>
        </w:rPr>
        <w:t>1º de j</w:t>
      </w:r>
      <w:r w:rsidR="00C85C5E">
        <w:rPr>
          <w:rFonts w:asciiTheme="minorHAnsi" w:hAnsiTheme="minorHAnsi" w:cstheme="minorHAnsi"/>
          <w:color w:val="000000" w:themeColor="text1"/>
          <w:sz w:val="24"/>
        </w:rPr>
        <w:t>ulho</w:t>
      </w:r>
      <w:r w:rsidRPr="00C85C5E">
        <w:rPr>
          <w:rFonts w:asciiTheme="minorHAnsi" w:hAnsiTheme="minorHAnsi" w:cstheme="minorHAnsi"/>
          <w:color w:val="000000" w:themeColor="text1"/>
          <w:sz w:val="24"/>
        </w:rPr>
        <w:t xml:space="preserve"> de 2022</w:t>
      </w:r>
      <w:r w:rsidRPr="00273211">
        <w:rPr>
          <w:rFonts w:asciiTheme="minorHAnsi" w:hAnsiTheme="minorHAnsi" w:cstheme="minorHAnsi"/>
          <w:sz w:val="24"/>
        </w:rPr>
        <w:t>.</w:t>
      </w:r>
    </w:p>
    <w:p w14:paraId="224E36B0" w14:textId="77777777" w:rsidR="00A92033" w:rsidRPr="00A92033" w:rsidRDefault="00A92033" w:rsidP="00C847A0">
      <w:pPr>
        <w:spacing w:before="0" w:after="0"/>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C847A0">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C847A0">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rsidP="00C847A0">
      <w:pPr>
        <w:spacing w:before="0" w:after="0" w:line="259" w:lineRule="auto"/>
        <w:jc w:val="left"/>
        <w:rPr>
          <w:rFonts w:cs="Arial"/>
          <w:sz w:val="24"/>
        </w:rPr>
      </w:pPr>
    </w:p>
    <w:p w14:paraId="4057CB7A" w14:textId="77777777" w:rsidR="00FF4702" w:rsidRDefault="00DF62F3" w:rsidP="00371AA5">
      <w:pPr>
        <w:spacing w:before="0"/>
        <w:jc w:val="center"/>
        <w:outlineLvl w:val="0"/>
        <w:rPr>
          <w:rFonts w:cs="Arial"/>
          <w:b/>
          <w:sz w:val="22"/>
          <w:szCs w:val="22"/>
          <w:lang w:val="pt-BR"/>
        </w:rPr>
      </w:pPr>
      <w:r>
        <w:rPr>
          <w:rFonts w:cs="Arial"/>
          <w:b/>
          <w:sz w:val="22"/>
          <w:szCs w:val="22"/>
          <w:lang w:val="pt-BR"/>
        </w:rPr>
        <w:br w:type="page"/>
      </w:r>
      <w:bookmarkStart w:id="1" w:name="_Ref202082075"/>
      <w:bookmarkEnd w:id="1"/>
    </w:p>
    <w:p w14:paraId="4A4C3B42" w14:textId="2645E13C" w:rsidR="00FF4702" w:rsidRDefault="00FF4702" w:rsidP="00371AA5">
      <w:pPr>
        <w:spacing w:before="0"/>
        <w:jc w:val="center"/>
        <w:outlineLvl w:val="0"/>
        <w:rPr>
          <w:rFonts w:cs="Arial"/>
          <w:b/>
          <w:sz w:val="22"/>
          <w:szCs w:val="22"/>
          <w:lang w:val="pt-BR"/>
        </w:rPr>
      </w:pPr>
      <w:r>
        <w:rPr>
          <w:rFonts w:cs="Arial"/>
          <w:b/>
          <w:sz w:val="22"/>
          <w:szCs w:val="22"/>
          <w:lang w:val="pt-BR"/>
        </w:rPr>
        <w:lastRenderedPageBreak/>
        <w:t>ANEXO “A”</w:t>
      </w:r>
    </w:p>
    <w:p w14:paraId="1B577747" w14:textId="4153E385" w:rsidR="00371AA5" w:rsidRPr="00371AA5" w:rsidRDefault="00371AA5" w:rsidP="00371AA5">
      <w:pPr>
        <w:spacing w:before="0"/>
        <w:jc w:val="center"/>
        <w:outlineLvl w:val="0"/>
        <w:rPr>
          <w:rFonts w:cs="Arial"/>
          <w:b/>
          <w:sz w:val="22"/>
          <w:szCs w:val="22"/>
          <w:lang w:val="pt-BR"/>
        </w:rPr>
      </w:pPr>
      <w:r w:rsidRPr="00371AA5">
        <w:rPr>
          <w:rFonts w:cs="Arial"/>
          <w:b/>
          <w:sz w:val="22"/>
          <w:szCs w:val="22"/>
          <w:lang w:val="pt-BR"/>
        </w:rPr>
        <w:t>COMITÊ DE PRONUNCIAMENTOS CONTÁBEIS</w:t>
      </w:r>
    </w:p>
    <w:p w14:paraId="3F2DF9C7" w14:textId="77777777" w:rsidR="00371AA5" w:rsidRPr="00371AA5" w:rsidRDefault="00371AA5" w:rsidP="00371AA5">
      <w:pPr>
        <w:spacing w:before="0"/>
        <w:jc w:val="center"/>
        <w:outlineLvl w:val="0"/>
        <w:rPr>
          <w:rFonts w:cs="Arial"/>
          <w:b/>
          <w:color w:val="FF0000"/>
          <w:sz w:val="22"/>
          <w:szCs w:val="22"/>
          <w:lang w:val="pt-BR"/>
        </w:rPr>
      </w:pPr>
      <w:r w:rsidRPr="00371AA5">
        <w:rPr>
          <w:rFonts w:cs="Arial"/>
          <w:b/>
          <w:sz w:val="22"/>
          <w:szCs w:val="22"/>
          <w:lang w:val="pt-BR"/>
        </w:rPr>
        <w:t>PRONUNCIAMENTO TÉCNICO CPC 20 (R1)</w:t>
      </w:r>
    </w:p>
    <w:p w14:paraId="23807615" w14:textId="77777777" w:rsidR="00371AA5" w:rsidRPr="00371AA5" w:rsidRDefault="00371AA5" w:rsidP="00371AA5">
      <w:pPr>
        <w:spacing w:before="0"/>
        <w:jc w:val="center"/>
        <w:outlineLvl w:val="0"/>
        <w:rPr>
          <w:rFonts w:cs="Arial"/>
          <w:b/>
          <w:i/>
          <w:sz w:val="22"/>
          <w:szCs w:val="22"/>
          <w:lang w:val="pt-BR"/>
        </w:rPr>
      </w:pPr>
      <w:r w:rsidRPr="00371AA5">
        <w:rPr>
          <w:rFonts w:cs="Arial"/>
          <w:b/>
          <w:sz w:val="22"/>
          <w:szCs w:val="22"/>
          <w:lang w:val="pt-BR"/>
        </w:rPr>
        <w:t>Custos de Empréstimos</w:t>
      </w:r>
    </w:p>
    <w:p w14:paraId="10477BD4" w14:textId="77777777" w:rsidR="00371AA5" w:rsidRPr="00371AA5" w:rsidRDefault="00371AA5" w:rsidP="00371AA5">
      <w:pPr>
        <w:spacing w:before="0"/>
        <w:jc w:val="center"/>
        <w:outlineLvl w:val="0"/>
        <w:rPr>
          <w:rFonts w:cs="Arial"/>
          <w:b/>
          <w:bCs/>
          <w:color w:val="FF0000"/>
          <w:sz w:val="22"/>
          <w:szCs w:val="22"/>
          <w:lang w:val="pt-BR"/>
        </w:rPr>
      </w:pPr>
      <w:r w:rsidRPr="00371AA5">
        <w:rPr>
          <w:rFonts w:cs="Arial"/>
          <w:b/>
          <w:bCs/>
          <w:sz w:val="22"/>
          <w:szCs w:val="22"/>
          <w:lang w:val="pt-BR"/>
        </w:rPr>
        <w:t>Correlação às Normas Internacionais de Contabilidade – IAS 23 (IASB – BV 2011)</w:t>
      </w:r>
    </w:p>
    <w:p w14:paraId="21663ECC" w14:textId="77777777" w:rsidR="00371AA5" w:rsidRPr="00371AA5" w:rsidRDefault="00371AA5" w:rsidP="00371AA5">
      <w:pPr>
        <w:widowControl w:val="0"/>
        <w:tabs>
          <w:tab w:val="left" w:pos="6804"/>
        </w:tabs>
        <w:spacing w:before="0" w:after="0"/>
        <w:ind w:left="57" w:right="57"/>
        <w:rPr>
          <w:rFonts w:cs="Arial"/>
          <w:b/>
          <w:color w:val="FF0000"/>
          <w:sz w:val="22"/>
          <w:szCs w:val="22"/>
          <w:lang w:val="pt-BR" w:eastAsia="x-none"/>
        </w:rPr>
      </w:pPr>
    </w:p>
    <w:tbl>
      <w:tblPr>
        <w:tblW w:w="87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4"/>
        <w:gridCol w:w="1260"/>
      </w:tblGrid>
      <w:tr w:rsidR="00371AA5" w:rsidRPr="00371AA5" w14:paraId="4295E01F" w14:textId="77777777" w:rsidTr="00017827">
        <w:tc>
          <w:tcPr>
            <w:tcW w:w="7494" w:type="dxa"/>
          </w:tcPr>
          <w:p w14:paraId="6A83D639" w14:textId="77777777" w:rsidR="00371AA5" w:rsidRPr="00371AA5" w:rsidRDefault="00371AA5" w:rsidP="00371AA5">
            <w:pPr>
              <w:spacing w:before="60" w:after="60"/>
              <w:jc w:val="left"/>
              <w:rPr>
                <w:rFonts w:cs="Arial"/>
                <w:bCs/>
                <w:kern w:val="36"/>
                <w:sz w:val="22"/>
                <w:szCs w:val="22"/>
                <w:lang w:val="pt-BR"/>
              </w:rPr>
            </w:pPr>
            <w:r w:rsidRPr="00371AA5">
              <w:rPr>
                <w:rFonts w:cs="Arial"/>
                <w:b/>
                <w:color w:val="FF0000"/>
                <w:sz w:val="22"/>
                <w:szCs w:val="22"/>
                <w:lang w:val="pt-BR"/>
              </w:rPr>
              <w:tab/>
            </w:r>
            <w:r w:rsidRPr="00371AA5">
              <w:rPr>
                <w:rFonts w:cs="Arial"/>
                <w:bCs/>
                <w:kern w:val="36"/>
                <w:sz w:val="22"/>
                <w:szCs w:val="22"/>
                <w:lang w:val="pt-BR"/>
              </w:rPr>
              <w:t>Sumário</w:t>
            </w:r>
          </w:p>
        </w:tc>
        <w:tc>
          <w:tcPr>
            <w:tcW w:w="1260" w:type="dxa"/>
          </w:tcPr>
          <w:p w14:paraId="5EBE38CC" w14:textId="77777777" w:rsidR="00371AA5" w:rsidRPr="00371AA5" w:rsidRDefault="00371AA5" w:rsidP="00371AA5">
            <w:pPr>
              <w:spacing w:before="60" w:after="60"/>
              <w:jc w:val="center"/>
              <w:rPr>
                <w:rFonts w:cs="Arial"/>
                <w:b/>
                <w:bCs/>
                <w:kern w:val="36"/>
                <w:sz w:val="22"/>
                <w:szCs w:val="22"/>
                <w:lang w:val="pt-BR"/>
              </w:rPr>
            </w:pPr>
            <w:r w:rsidRPr="00371AA5">
              <w:rPr>
                <w:rFonts w:cs="Arial"/>
                <w:b/>
                <w:bCs/>
                <w:kern w:val="36"/>
                <w:sz w:val="22"/>
                <w:szCs w:val="22"/>
                <w:lang w:val="pt-BR"/>
              </w:rPr>
              <w:t>Item</w:t>
            </w:r>
          </w:p>
        </w:tc>
      </w:tr>
      <w:tr w:rsidR="00371AA5" w:rsidRPr="00371AA5" w14:paraId="618EB396" w14:textId="77777777" w:rsidTr="00017827">
        <w:tc>
          <w:tcPr>
            <w:tcW w:w="7494" w:type="dxa"/>
          </w:tcPr>
          <w:p w14:paraId="0AC3E254" w14:textId="77777777" w:rsidR="00371AA5" w:rsidRPr="00371AA5" w:rsidRDefault="00371AA5" w:rsidP="00371AA5">
            <w:pPr>
              <w:spacing w:before="60" w:after="60"/>
              <w:jc w:val="left"/>
              <w:rPr>
                <w:rFonts w:cs="Arial"/>
                <w:b/>
                <w:bCs/>
                <w:kern w:val="36"/>
                <w:sz w:val="22"/>
                <w:szCs w:val="22"/>
                <w:lang w:val="pt-BR"/>
              </w:rPr>
            </w:pPr>
            <w:r w:rsidRPr="00371AA5">
              <w:rPr>
                <w:rFonts w:cs="Arial"/>
                <w:b/>
                <w:bCs/>
                <w:kern w:val="36"/>
                <w:sz w:val="22"/>
                <w:szCs w:val="22"/>
                <w:lang w:val="pt-BR"/>
              </w:rPr>
              <w:t>OBJETIVO</w:t>
            </w:r>
          </w:p>
        </w:tc>
        <w:tc>
          <w:tcPr>
            <w:tcW w:w="1260" w:type="dxa"/>
          </w:tcPr>
          <w:p w14:paraId="17CE548F" w14:textId="77777777" w:rsidR="00371AA5" w:rsidRPr="00371AA5" w:rsidRDefault="00371AA5" w:rsidP="00371AA5">
            <w:pPr>
              <w:spacing w:before="60" w:after="60"/>
              <w:jc w:val="center"/>
              <w:rPr>
                <w:rFonts w:cs="Arial"/>
                <w:b/>
                <w:bCs/>
                <w:kern w:val="36"/>
                <w:sz w:val="22"/>
                <w:szCs w:val="22"/>
                <w:lang w:val="pt-BR"/>
              </w:rPr>
            </w:pPr>
            <w:r w:rsidRPr="00371AA5">
              <w:rPr>
                <w:rFonts w:cs="Arial"/>
                <w:b/>
                <w:bCs/>
                <w:kern w:val="36"/>
                <w:sz w:val="22"/>
                <w:szCs w:val="22"/>
                <w:lang w:val="pt-BR"/>
              </w:rPr>
              <w:t>1</w:t>
            </w:r>
          </w:p>
        </w:tc>
      </w:tr>
      <w:tr w:rsidR="00371AA5" w:rsidRPr="00371AA5" w14:paraId="1361D50E" w14:textId="77777777" w:rsidTr="00017827">
        <w:tc>
          <w:tcPr>
            <w:tcW w:w="7494" w:type="dxa"/>
          </w:tcPr>
          <w:p w14:paraId="3A8C5FD4" w14:textId="77777777" w:rsidR="00371AA5" w:rsidRPr="00371AA5" w:rsidRDefault="00371AA5" w:rsidP="00371AA5">
            <w:pPr>
              <w:spacing w:before="60" w:after="60"/>
              <w:jc w:val="left"/>
              <w:rPr>
                <w:rFonts w:cs="Arial"/>
                <w:b/>
                <w:bCs/>
                <w:kern w:val="36"/>
                <w:sz w:val="22"/>
                <w:szCs w:val="22"/>
                <w:lang w:val="pt-BR"/>
              </w:rPr>
            </w:pPr>
            <w:r w:rsidRPr="00371AA5">
              <w:rPr>
                <w:rFonts w:cs="Arial"/>
                <w:b/>
                <w:bCs/>
                <w:kern w:val="36"/>
                <w:sz w:val="22"/>
                <w:szCs w:val="22"/>
                <w:lang w:val="pt-BR"/>
              </w:rPr>
              <w:t>ALCANCE</w:t>
            </w:r>
          </w:p>
        </w:tc>
        <w:tc>
          <w:tcPr>
            <w:tcW w:w="1260" w:type="dxa"/>
            <w:vAlign w:val="center"/>
          </w:tcPr>
          <w:p w14:paraId="364515CB" w14:textId="77777777" w:rsidR="00371AA5" w:rsidRPr="00371AA5" w:rsidRDefault="00371AA5" w:rsidP="00371AA5">
            <w:pPr>
              <w:spacing w:before="60" w:after="60"/>
              <w:jc w:val="center"/>
              <w:rPr>
                <w:rFonts w:cs="Arial"/>
                <w:b/>
                <w:bCs/>
                <w:kern w:val="36"/>
                <w:sz w:val="22"/>
                <w:szCs w:val="22"/>
                <w:lang w:val="pt-BR"/>
              </w:rPr>
            </w:pPr>
            <w:r w:rsidRPr="00371AA5">
              <w:rPr>
                <w:rFonts w:cs="Arial"/>
                <w:b/>
                <w:bCs/>
                <w:kern w:val="36"/>
                <w:sz w:val="22"/>
                <w:szCs w:val="22"/>
                <w:lang w:val="pt-BR"/>
              </w:rPr>
              <w:t>2 – 4</w:t>
            </w:r>
          </w:p>
        </w:tc>
      </w:tr>
      <w:tr w:rsidR="00371AA5" w:rsidRPr="00371AA5" w14:paraId="451C9D15" w14:textId="77777777" w:rsidTr="00017827">
        <w:tc>
          <w:tcPr>
            <w:tcW w:w="7494" w:type="dxa"/>
          </w:tcPr>
          <w:p w14:paraId="2B37386E" w14:textId="77777777" w:rsidR="00371AA5" w:rsidRPr="00371AA5" w:rsidRDefault="00371AA5" w:rsidP="00371AA5">
            <w:pPr>
              <w:spacing w:before="60" w:after="60"/>
              <w:jc w:val="left"/>
              <w:rPr>
                <w:rFonts w:cs="Arial"/>
                <w:b/>
                <w:bCs/>
                <w:kern w:val="36"/>
                <w:sz w:val="22"/>
                <w:szCs w:val="22"/>
                <w:lang w:val="pt-BR"/>
              </w:rPr>
            </w:pPr>
            <w:r w:rsidRPr="00371AA5">
              <w:rPr>
                <w:rFonts w:cs="Arial"/>
                <w:b/>
                <w:bCs/>
                <w:kern w:val="36"/>
                <w:sz w:val="22"/>
                <w:szCs w:val="22"/>
                <w:lang w:val="pt-BR"/>
              </w:rPr>
              <w:t>DEFINIÇÕES</w:t>
            </w:r>
          </w:p>
        </w:tc>
        <w:tc>
          <w:tcPr>
            <w:tcW w:w="1260" w:type="dxa"/>
            <w:vAlign w:val="center"/>
          </w:tcPr>
          <w:p w14:paraId="007C8C3C" w14:textId="77777777" w:rsidR="00371AA5" w:rsidRPr="00371AA5" w:rsidRDefault="00371AA5" w:rsidP="00371AA5">
            <w:pPr>
              <w:spacing w:before="60" w:after="60"/>
              <w:jc w:val="center"/>
              <w:rPr>
                <w:rFonts w:cs="Arial"/>
                <w:b/>
                <w:bCs/>
                <w:kern w:val="36"/>
                <w:sz w:val="22"/>
                <w:szCs w:val="22"/>
                <w:lang w:val="pt-BR"/>
              </w:rPr>
            </w:pPr>
            <w:r w:rsidRPr="00371AA5">
              <w:rPr>
                <w:rFonts w:cs="Arial"/>
                <w:b/>
                <w:bCs/>
                <w:kern w:val="36"/>
                <w:sz w:val="22"/>
                <w:szCs w:val="22"/>
                <w:lang w:val="pt-BR"/>
              </w:rPr>
              <w:t>5 – 7</w:t>
            </w:r>
          </w:p>
        </w:tc>
      </w:tr>
      <w:tr w:rsidR="00371AA5" w:rsidRPr="00371AA5" w14:paraId="706A9509" w14:textId="77777777" w:rsidTr="00017827">
        <w:tc>
          <w:tcPr>
            <w:tcW w:w="7494" w:type="dxa"/>
          </w:tcPr>
          <w:p w14:paraId="75C30CD0" w14:textId="77777777" w:rsidR="00371AA5" w:rsidRPr="00371AA5" w:rsidRDefault="00371AA5" w:rsidP="00371AA5">
            <w:pPr>
              <w:spacing w:before="60" w:after="60"/>
              <w:jc w:val="left"/>
              <w:rPr>
                <w:rFonts w:cs="Arial"/>
                <w:b/>
                <w:bCs/>
                <w:kern w:val="36"/>
                <w:sz w:val="22"/>
                <w:szCs w:val="22"/>
                <w:lang w:val="pt-BR"/>
              </w:rPr>
            </w:pPr>
            <w:r w:rsidRPr="00371AA5">
              <w:rPr>
                <w:rFonts w:cs="Arial"/>
                <w:b/>
                <w:bCs/>
                <w:kern w:val="36"/>
                <w:sz w:val="22"/>
                <w:szCs w:val="22"/>
                <w:lang w:val="pt-BR"/>
              </w:rPr>
              <w:t>RECONHECIMENTO</w:t>
            </w:r>
          </w:p>
        </w:tc>
        <w:tc>
          <w:tcPr>
            <w:tcW w:w="1260" w:type="dxa"/>
            <w:vAlign w:val="center"/>
          </w:tcPr>
          <w:p w14:paraId="56CF793A" w14:textId="77777777" w:rsidR="00371AA5" w:rsidRPr="00371AA5" w:rsidRDefault="00371AA5" w:rsidP="00371AA5">
            <w:pPr>
              <w:spacing w:before="60" w:after="60"/>
              <w:jc w:val="center"/>
              <w:rPr>
                <w:rFonts w:cs="Arial"/>
                <w:b/>
                <w:bCs/>
                <w:kern w:val="36"/>
                <w:sz w:val="22"/>
                <w:szCs w:val="22"/>
                <w:lang w:val="pt-BR"/>
              </w:rPr>
            </w:pPr>
            <w:r w:rsidRPr="00371AA5">
              <w:rPr>
                <w:rFonts w:cs="Arial"/>
                <w:b/>
                <w:bCs/>
                <w:kern w:val="36"/>
                <w:sz w:val="22"/>
                <w:szCs w:val="22"/>
                <w:lang w:val="pt-BR"/>
              </w:rPr>
              <w:t>8 – 25</w:t>
            </w:r>
          </w:p>
        </w:tc>
      </w:tr>
      <w:tr w:rsidR="00371AA5" w:rsidRPr="00371AA5" w14:paraId="374B1C55" w14:textId="77777777" w:rsidTr="00017827">
        <w:tc>
          <w:tcPr>
            <w:tcW w:w="7494" w:type="dxa"/>
          </w:tcPr>
          <w:p w14:paraId="43E47AD9" w14:textId="77777777" w:rsidR="00371AA5" w:rsidRPr="00371AA5" w:rsidRDefault="00371AA5" w:rsidP="00371AA5">
            <w:pPr>
              <w:spacing w:before="60" w:after="60"/>
              <w:jc w:val="left"/>
              <w:rPr>
                <w:rFonts w:cs="Arial"/>
                <w:bCs/>
                <w:kern w:val="36"/>
                <w:sz w:val="22"/>
                <w:szCs w:val="22"/>
                <w:lang w:val="pt-BR"/>
              </w:rPr>
            </w:pPr>
            <w:r w:rsidRPr="00371AA5">
              <w:rPr>
                <w:rFonts w:cs="Arial"/>
                <w:b/>
                <w:bCs/>
                <w:kern w:val="36"/>
                <w:sz w:val="22"/>
                <w:szCs w:val="22"/>
                <w:lang w:val="pt-BR"/>
              </w:rPr>
              <w:t>Custos de empréstimos elegíveis à capitalização</w:t>
            </w:r>
          </w:p>
        </w:tc>
        <w:tc>
          <w:tcPr>
            <w:tcW w:w="1260" w:type="dxa"/>
          </w:tcPr>
          <w:p w14:paraId="2F49A4FC" w14:textId="77777777" w:rsidR="00371AA5" w:rsidRPr="00371AA5" w:rsidRDefault="00371AA5" w:rsidP="00371AA5">
            <w:pPr>
              <w:spacing w:before="60" w:after="60"/>
              <w:jc w:val="center"/>
              <w:rPr>
                <w:rFonts w:cs="Arial"/>
                <w:b/>
                <w:bCs/>
                <w:kern w:val="36"/>
                <w:sz w:val="22"/>
                <w:szCs w:val="22"/>
                <w:lang w:val="pt-BR"/>
              </w:rPr>
            </w:pPr>
            <w:r w:rsidRPr="00371AA5">
              <w:rPr>
                <w:rFonts w:cs="Arial"/>
                <w:b/>
                <w:bCs/>
                <w:kern w:val="36"/>
                <w:sz w:val="22"/>
                <w:szCs w:val="22"/>
                <w:lang w:val="pt-BR"/>
              </w:rPr>
              <w:t>10 – 15</w:t>
            </w:r>
          </w:p>
        </w:tc>
      </w:tr>
      <w:tr w:rsidR="00371AA5" w:rsidRPr="00371AA5" w14:paraId="630F818E" w14:textId="77777777" w:rsidTr="00017827">
        <w:tc>
          <w:tcPr>
            <w:tcW w:w="7494" w:type="dxa"/>
          </w:tcPr>
          <w:p w14:paraId="578AB8FA" w14:textId="77777777" w:rsidR="00371AA5" w:rsidRPr="00371AA5" w:rsidRDefault="00371AA5" w:rsidP="00371AA5">
            <w:pPr>
              <w:spacing w:before="60" w:after="60"/>
              <w:jc w:val="left"/>
              <w:rPr>
                <w:rFonts w:cs="Arial"/>
                <w:b/>
                <w:bCs/>
                <w:kern w:val="36"/>
                <w:sz w:val="22"/>
                <w:szCs w:val="22"/>
                <w:lang w:val="pt-BR"/>
              </w:rPr>
            </w:pPr>
            <w:r w:rsidRPr="00371AA5">
              <w:rPr>
                <w:rFonts w:cs="Arial"/>
                <w:b/>
                <w:bCs/>
                <w:kern w:val="36"/>
                <w:sz w:val="22"/>
                <w:szCs w:val="22"/>
                <w:lang w:val="pt-BR"/>
              </w:rPr>
              <w:t>Excesso do valor contábil do ativo qualificável sobre o montante recuperável</w:t>
            </w:r>
          </w:p>
        </w:tc>
        <w:tc>
          <w:tcPr>
            <w:tcW w:w="1260" w:type="dxa"/>
            <w:vAlign w:val="center"/>
          </w:tcPr>
          <w:p w14:paraId="7FE72F53" w14:textId="77777777" w:rsidR="00371AA5" w:rsidRPr="00371AA5" w:rsidRDefault="00371AA5" w:rsidP="00371AA5">
            <w:pPr>
              <w:spacing w:before="60" w:after="60"/>
              <w:jc w:val="center"/>
              <w:rPr>
                <w:rFonts w:cs="Arial"/>
                <w:b/>
                <w:bCs/>
                <w:kern w:val="36"/>
                <w:sz w:val="22"/>
                <w:szCs w:val="22"/>
                <w:lang w:val="pt-BR"/>
              </w:rPr>
            </w:pPr>
            <w:r w:rsidRPr="00371AA5">
              <w:rPr>
                <w:rFonts w:cs="Arial"/>
                <w:b/>
                <w:bCs/>
                <w:kern w:val="36"/>
                <w:sz w:val="22"/>
                <w:szCs w:val="22"/>
                <w:lang w:val="pt-BR"/>
              </w:rPr>
              <w:t>16</w:t>
            </w:r>
          </w:p>
        </w:tc>
      </w:tr>
      <w:tr w:rsidR="00371AA5" w:rsidRPr="00371AA5" w14:paraId="0B39C968" w14:textId="77777777" w:rsidTr="00017827">
        <w:tc>
          <w:tcPr>
            <w:tcW w:w="7494" w:type="dxa"/>
          </w:tcPr>
          <w:p w14:paraId="64EA0EE8" w14:textId="77777777" w:rsidR="00371AA5" w:rsidRPr="00371AA5" w:rsidRDefault="00371AA5" w:rsidP="00371AA5">
            <w:pPr>
              <w:spacing w:before="60" w:after="60"/>
              <w:jc w:val="left"/>
              <w:rPr>
                <w:rFonts w:cs="Arial"/>
                <w:b/>
                <w:bCs/>
                <w:kern w:val="36"/>
                <w:sz w:val="22"/>
                <w:szCs w:val="22"/>
                <w:lang w:val="pt-BR"/>
              </w:rPr>
            </w:pPr>
            <w:r w:rsidRPr="00371AA5">
              <w:rPr>
                <w:rFonts w:cs="Arial"/>
                <w:b/>
                <w:bCs/>
                <w:kern w:val="36"/>
                <w:sz w:val="22"/>
                <w:szCs w:val="22"/>
                <w:lang w:val="pt-BR"/>
              </w:rPr>
              <w:t>Início da capitalização</w:t>
            </w:r>
          </w:p>
        </w:tc>
        <w:tc>
          <w:tcPr>
            <w:tcW w:w="1260" w:type="dxa"/>
            <w:vAlign w:val="center"/>
          </w:tcPr>
          <w:p w14:paraId="024AD0D2" w14:textId="77777777" w:rsidR="00371AA5" w:rsidRPr="00371AA5" w:rsidRDefault="00371AA5" w:rsidP="00371AA5">
            <w:pPr>
              <w:spacing w:before="60" w:after="60"/>
              <w:jc w:val="center"/>
              <w:rPr>
                <w:rFonts w:cs="Arial"/>
                <w:b/>
                <w:bCs/>
                <w:kern w:val="36"/>
                <w:sz w:val="22"/>
                <w:szCs w:val="22"/>
                <w:lang w:val="pt-BR"/>
              </w:rPr>
            </w:pPr>
            <w:r w:rsidRPr="00371AA5">
              <w:rPr>
                <w:rFonts w:cs="Arial"/>
                <w:b/>
                <w:bCs/>
                <w:kern w:val="36"/>
                <w:sz w:val="22"/>
                <w:szCs w:val="22"/>
                <w:lang w:val="pt-BR"/>
              </w:rPr>
              <w:t>17 – 19</w:t>
            </w:r>
          </w:p>
        </w:tc>
      </w:tr>
      <w:tr w:rsidR="00371AA5" w:rsidRPr="00371AA5" w14:paraId="773E279D" w14:textId="77777777" w:rsidTr="00017827">
        <w:tc>
          <w:tcPr>
            <w:tcW w:w="7494" w:type="dxa"/>
          </w:tcPr>
          <w:p w14:paraId="42F04857" w14:textId="77777777" w:rsidR="00371AA5" w:rsidRPr="00371AA5" w:rsidRDefault="00371AA5" w:rsidP="00371AA5">
            <w:pPr>
              <w:spacing w:before="60" w:after="60"/>
              <w:jc w:val="left"/>
              <w:rPr>
                <w:rFonts w:cs="Arial"/>
                <w:b/>
                <w:bCs/>
                <w:kern w:val="36"/>
                <w:sz w:val="22"/>
                <w:szCs w:val="22"/>
                <w:lang w:val="pt-BR"/>
              </w:rPr>
            </w:pPr>
            <w:r w:rsidRPr="00371AA5">
              <w:rPr>
                <w:rFonts w:cs="Arial"/>
                <w:b/>
                <w:bCs/>
                <w:kern w:val="36"/>
                <w:sz w:val="22"/>
                <w:szCs w:val="22"/>
                <w:lang w:val="pt-BR"/>
              </w:rPr>
              <w:t>Suspensão da capitalização</w:t>
            </w:r>
          </w:p>
        </w:tc>
        <w:tc>
          <w:tcPr>
            <w:tcW w:w="1260" w:type="dxa"/>
            <w:vAlign w:val="center"/>
          </w:tcPr>
          <w:p w14:paraId="17140CDD" w14:textId="77777777" w:rsidR="00371AA5" w:rsidRPr="00371AA5" w:rsidRDefault="00371AA5" w:rsidP="00371AA5">
            <w:pPr>
              <w:spacing w:before="60" w:after="60"/>
              <w:jc w:val="center"/>
              <w:rPr>
                <w:rFonts w:cs="Arial"/>
                <w:b/>
                <w:bCs/>
                <w:kern w:val="36"/>
                <w:sz w:val="22"/>
                <w:szCs w:val="22"/>
                <w:lang w:val="pt-BR"/>
              </w:rPr>
            </w:pPr>
            <w:r w:rsidRPr="00371AA5">
              <w:rPr>
                <w:rFonts w:cs="Arial"/>
                <w:b/>
                <w:bCs/>
                <w:kern w:val="36"/>
                <w:sz w:val="22"/>
                <w:szCs w:val="22"/>
                <w:lang w:val="pt-BR"/>
              </w:rPr>
              <w:t>20 – 21</w:t>
            </w:r>
          </w:p>
        </w:tc>
      </w:tr>
      <w:tr w:rsidR="00371AA5" w:rsidRPr="00371AA5" w14:paraId="0B6BC7C9" w14:textId="77777777" w:rsidTr="00017827">
        <w:tc>
          <w:tcPr>
            <w:tcW w:w="7494" w:type="dxa"/>
          </w:tcPr>
          <w:p w14:paraId="2682AE1E" w14:textId="77777777" w:rsidR="00371AA5" w:rsidRPr="00371AA5" w:rsidRDefault="00371AA5" w:rsidP="00371AA5">
            <w:pPr>
              <w:spacing w:before="60" w:after="60"/>
              <w:jc w:val="left"/>
              <w:rPr>
                <w:rFonts w:cs="Arial"/>
                <w:b/>
                <w:bCs/>
                <w:kern w:val="36"/>
                <w:sz w:val="22"/>
                <w:szCs w:val="22"/>
                <w:lang w:val="pt-BR"/>
              </w:rPr>
            </w:pPr>
            <w:r w:rsidRPr="00371AA5">
              <w:rPr>
                <w:rFonts w:cs="Arial"/>
                <w:b/>
                <w:bCs/>
                <w:kern w:val="36"/>
                <w:sz w:val="22"/>
                <w:szCs w:val="22"/>
                <w:lang w:val="pt-BR"/>
              </w:rPr>
              <w:t>Cessação da capitalização</w:t>
            </w:r>
          </w:p>
        </w:tc>
        <w:tc>
          <w:tcPr>
            <w:tcW w:w="1260" w:type="dxa"/>
            <w:vAlign w:val="center"/>
          </w:tcPr>
          <w:p w14:paraId="7E5E86F1" w14:textId="77777777" w:rsidR="00371AA5" w:rsidRPr="00371AA5" w:rsidRDefault="00371AA5" w:rsidP="00371AA5">
            <w:pPr>
              <w:spacing w:before="60" w:after="60"/>
              <w:jc w:val="center"/>
              <w:rPr>
                <w:rFonts w:cs="Arial"/>
                <w:b/>
                <w:bCs/>
                <w:kern w:val="36"/>
                <w:sz w:val="22"/>
                <w:szCs w:val="22"/>
                <w:lang w:val="pt-BR"/>
              </w:rPr>
            </w:pPr>
            <w:r w:rsidRPr="00371AA5">
              <w:rPr>
                <w:rFonts w:cs="Arial"/>
                <w:b/>
                <w:bCs/>
                <w:kern w:val="36"/>
                <w:sz w:val="22"/>
                <w:szCs w:val="22"/>
                <w:lang w:val="pt-BR"/>
              </w:rPr>
              <w:t>22 – 25</w:t>
            </w:r>
          </w:p>
        </w:tc>
      </w:tr>
      <w:tr w:rsidR="00371AA5" w:rsidRPr="00371AA5" w14:paraId="704A3767" w14:textId="77777777" w:rsidTr="00017827">
        <w:tc>
          <w:tcPr>
            <w:tcW w:w="7494" w:type="dxa"/>
          </w:tcPr>
          <w:p w14:paraId="40DC23CA" w14:textId="77777777" w:rsidR="00371AA5" w:rsidRPr="00371AA5" w:rsidRDefault="00371AA5" w:rsidP="00371AA5">
            <w:pPr>
              <w:spacing w:before="60" w:after="60"/>
              <w:jc w:val="left"/>
              <w:rPr>
                <w:rFonts w:cs="Arial"/>
                <w:b/>
                <w:bCs/>
                <w:kern w:val="36"/>
                <w:sz w:val="22"/>
                <w:szCs w:val="22"/>
                <w:lang w:val="pt-BR"/>
              </w:rPr>
            </w:pPr>
            <w:r w:rsidRPr="00371AA5">
              <w:rPr>
                <w:rFonts w:cs="Arial"/>
                <w:b/>
                <w:bCs/>
                <w:kern w:val="36"/>
                <w:sz w:val="22"/>
                <w:szCs w:val="22"/>
                <w:lang w:val="pt-BR"/>
              </w:rPr>
              <w:t>DIVULGAÇÃO</w:t>
            </w:r>
          </w:p>
        </w:tc>
        <w:tc>
          <w:tcPr>
            <w:tcW w:w="1260" w:type="dxa"/>
            <w:vAlign w:val="center"/>
          </w:tcPr>
          <w:p w14:paraId="5855D7F2" w14:textId="77777777" w:rsidR="00371AA5" w:rsidRPr="00371AA5" w:rsidRDefault="00371AA5" w:rsidP="00371AA5">
            <w:pPr>
              <w:spacing w:before="60" w:after="60"/>
              <w:jc w:val="center"/>
              <w:rPr>
                <w:rFonts w:cs="Arial"/>
                <w:b/>
                <w:bCs/>
                <w:kern w:val="36"/>
                <w:sz w:val="22"/>
                <w:szCs w:val="22"/>
                <w:lang w:val="pt-BR"/>
              </w:rPr>
            </w:pPr>
            <w:r w:rsidRPr="00371AA5">
              <w:rPr>
                <w:rFonts w:cs="Arial"/>
                <w:b/>
                <w:bCs/>
                <w:kern w:val="36"/>
                <w:sz w:val="22"/>
                <w:szCs w:val="22"/>
                <w:lang w:val="pt-BR"/>
              </w:rPr>
              <w:t>26</w:t>
            </w:r>
          </w:p>
        </w:tc>
      </w:tr>
      <w:tr w:rsidR="00371AA5" w:rsidRPr="00371AA5" w14:paraId="1BAC7BB9" w14:textId="77777777" w:rsidTr="00017827">
        <w:tc>
          <w:tcPr>
            <w:tcW w:w="7494" w:type="dxa"/>
          </w:tcPr>
          <w:p w14:paraId="6A3C581C" w14:textId="77777777" w:rsidR="00371AA5" w:rsidRPr="00371AA5" w:rsidRDefault="00371AA5" w:rsidP="00371AA5">
            <w:pPr>
              <w:spacing w:before="60" w:after="60"/>
              <w:jc w:val="left"/>
              <w:rPr>
                <w:rFonts w:cs="Arial"/>
                <w:b/>
                <w:bCs/>
                <w:kern w:val="36"/>
                <w:sz w:val="22"/>
                <w:szCs w:val="22"/>
                <w:lang w:val="pt-BR"/>
              </w:rPr>
            </w:pPr>
            <w:r w:rsidRPr="00371AA5">
              <w:rPr>
                <w:rFonts w:cs="Arial"/>
                <w:b/>
                <w:bCs/>
                <w:kern w:val="36"/>
                <w:sz w:val="22"/>
                <w:szCs w:val="22"/>
                <w:lang w:val="pt-BR"/>
              </w:rPr>
              <w:t>DISPOSIÇÕES TRANSITÓRIAS</w:t>
            </w:r>
          </w:p>
        </w:tc>
        <w:tc>
          <w:tcPr>
            <w:tcW w:w="1260" w:type="dxa"/>
            <w:vAlign w:val="center"/>
          </w:tcPr>
          <w:p w14:paraId="280D2761" w14:textId="77777777" w:rsidR="00371AA5" w:rsidRPr="00371AA5" w:rsidRDefault="00371AA5" w:rsidP="00371AA5">
            <w:pPr>
              <w:spacing w:before="60" w:after="60"/>
              <w:jc w:val="center"/>
              <w:rPr>
                <w:rFonts w:cs="Arial"/>
                <w:b/>
                <w:bCs/>
                <w:kern w:val="36"/>
                <w:sz w:val="22"/>
                <w:szCs w:val="22"/>
                <w:lang w:val="pt-BR"/>
              </w:rPr>
            </w:pPr>
            <w:r w:rsidRPr="00371AA5">
              <w:rPr>
                <w:rFonts w:cs="Arial"/>
                <w:b/>
                <w:bCs/>
                <w:kern w:val="36"/>
                <w:sz w:val="22"/>
                <w:szCs w:val="22"/>
                <w:lang w:val="pt-BR"/>
              </w:rPr>
              <w:t>27 – 30</w:t>
            </w:r>
          </w:p>
        </w:tc>
      </w:tr>
    </w:tbl>
    <w:p w14:paraId="11FEE051" w14:textId="77777777" w:rsidR="00371AA5" w:rsidRPr="00371AA5" w:rsidRDefault="00371AA5" w:rsidP="00371AA5">
      <w:pPr>
        <w:spacing w:before="0" w:after="0"/>
        <w:rPr>
          <w:rFonts w:cs="Arial"/>
          <w:b/>
          <w:sz w:val="22"/>
          <w:szCs w:val="22"/>
          <w:lang w:val="pt-BR"/>
        </w:rPr>
      </w:pPr>
    </w:p>
    <w:p w14:paraId="79F03B9E" w14:textId="77777777" w:rsidR="00371AA5" w:rsidRPr="00371AA5" w:rsidRDefault="00371AA5" w:rsidP="00371AA5">
      <w:pPr>
        <w:spacing w:before="0" w:after="0"/>
        <w:rPr>
          <w:rFonts w:cs="Arial"/>
          <w:b/>
          <w:sz w:val="22"/>
          <w:szCs w:val="22"/>
          <w:lang w:val="pt-BR"/>
        </w:rPr>
      </w:pPr>
      <w:r w:rsidRPr="00371AA5">
        <w:rPr>
          <w:rFonts w:cs="Arial"/>
          <w:b/>
          <w:sz w:val="22"/>
          <w:szCs w:val="22"/>
          <w:lang w:val="pt-BR"/>
        </w:rPr>
        <w:t>Objetivo</w:t>
      </w:r>
    </w:p>
    <w:p w14:paraId="102C2572" w14:textId="77777777" w:rsidR="00371AA5" w:rsidRPr="00371AA5" w:rsidRDefault="00371AA5" w:rsidP="00371AA5">
      <w:pPr>
        <w:widowControl w:val="0"/>
        <w:tabs>
          <w:tab w:val="left" w:pos="6804"/>
        </w:tabs>
        <w:spacing w:before="0" w:after="0"/>
        <w:rPr>
          <w:rFonts w:cs="Arial"/>
          <w:sz w:val="22"/>
          <w:szCs w:val="22"/>
          <w:lang w:val="pt-BR" w:eastAsia="x-none"/>
        </w:rPr>
      </w:pPr>
    </w:p>
    <w:p w14:paraId="08A5426F" w14:textId="77777777" w:rsidR="00371AA5" w:rsidRPr="00371AA5" w:rsidRDefault="00371AA5" w:rsidP="00371AA5">
      <w:pPr>
        <w:widowControl w:val="0"/>
        <w:tabs>
          <w:tab w:val="left" w:pos="6804"/>
        </w:tabs>
        <w:spacing w:before="0" w:after="0"/>
        <w:ind w:left="567" w:hanging="567"/>
        <w:rPr>
          <w:rFonts w:cs="Arial"/>
          <w:sz w:val="22"/>
          <w:szCs w:val="22"/>
          <w:lang w:val="pt-BR" w:eastAsia="x-none"/>
        </w:rPr>
      </w:pPr>
      <w:r w:rsidRPr="00371AA5">
        <w:rPr>
          <w:rFonts w:cs="Arial"/>
          <w:sz w:val="22"/>
          <w:szCs w:val="22"/>
          <w:lang w:val="pt-BR" w:eastAsia="x-none"/>
        </w:rPr>
        <w:t xml:space="preserve">1. </w:t>
      </w:r>
      <w:r w:rsidRPr="00371AA5">
        <w:rPr>
          <w:rFonts w:cs="Arial"/>
          <w:sz w:val="22"/>
          <w:szCs w:val="22"/>
          <w:lang w:val="pt-BR" w:eastAsia="x-none"/>
        </w:rPr>
        <w:tab/>
        <w:t>Custos de empréstimos que são diretamente atribuíveis à aquisição, construção ou produção de um ativo qualificável formam parte do custo de tal ativo. Outros custos de empréstimos devem ser reconhecidos como despesa.</w:t>
      </w:r>
    </w:p>
    <w:p w14:paraId="46F262C2" w14:textId="77777777" w:rsidR="00371AA5" w:rsidRPr="00371AA5" w:rsidRDefault="00371AA5" w:rsidP="00371AA5">
      <w:pPr>
        <w:spacing w:before="0" w:after="0"/>
        <w:rPr>
          <w:rFonts w:cs="Arial"/>
          <w:b/>
          <w:sz w:val="22"/>
          <w:szCs w:val="22"/>
          <w:lang w:val="pt-BR"/>
        </w:rPr>
      </w:pPr>
    </w:p>
    <w:p w14:paraId="5BC37C6C" w14:textId="77777777" w:rsidR="00371AA5" w:rsidRPr="00371AA5" w:rsidRDefault="00371AA5" w:rsidP="00371AA5">
      <w:pPr>
        <w:spacing w:before="0" w:after="0"/>
        <w:rPr>
          <w:rFonts w:cs="Arial"/>
          <w:b/>
          <w:sz w:val="22"/>
          <w:szCs w:val="22"/>
          <w:lang w:val="pt-BR"/>
        </w:rPr>
      </w:pPr>
      <w:r w:rsidRPr="00371AA5">
        <w:rPr>
          <w:rFonts w:cs="Arial"/>
          <w:b/>
          <w:sz w:val="22"/>
          <w:szCs w:val="22"/>
          <w:lang w:val="pt-BR"/>
        </w:rPr>
        <w:t>Alcance</w:t>
      </w:r>
    </w:p>
    <w:p w14:paraId="7589342A" w14:textId="77777777" w:rsidR="00371AA5" w:rsidRPr="00371AA5" w:rsidRDefault="00371AA5" w:rsidP="00371AA5">
      <w:pPr>
        <w:spacing w:before="0" w:after="0"/>
        <w:rPr>
          <w:rFonts w:cs="Arial"/>
          <w:b/>
          <w:sz w:val="22"/>
          <w:szCs w:val="22"/>
          <w:lang w:val="pt-BR"/>
        </w:rPr>
      </w:pPr>
    </w:p>
    <w:p w14:paraId="2BA335E8" w14:textId="77777777" w:rsidR="00371AA5" w:rsidRPr="00371AA5" w:rsidRDefault="00371AA5" w:rsidP="00371AA5">
      <w:pPr>
        <w:widowControl w:val="0"/>
        <w:tabs>
          <w:tab w:val="left" w:pos="6804"/>
        </w:tabs>
        <w:spacing w:before="0" w:after="0"/>
        <w:ind w:left="567" w:hanging="567"/>
        <w:rPr>
          <w:rFonts w:cs="Arial"/>
          <w:sz w:val="22"/>
          <w:szCs w:val="22"/>
          <w:lang w:val="pt-BR" w:eastAsia="x-none"/>
        </w:rPr>
      </w:pPr>
      <w:r w:rsidRPr="00371AA5">
        <w:rPr>
          <w:rFonts w:cs="Arial"/>
          <w:sz w:val="22"/>
          <w:szCs w:val="22"/>
          <w:lang w:val="pt-BR" w:eastAsia="x-none"/>
        </w:rPr>
        <w:t xml:space="preserve">2. </w:t>
      </w:r>
      <w:r w:rsidRPr="00371AA5">
        <w:rPr>
          <w:rFonts w:cs="Arial"/>
          <w:sz w:val="22"/>
          <w:szCs w:val="22"/>
          <w:lang w:val="pt-BR" w:eastAsia="x-none"/>
        </w:rPr>
        <w:tab/>
        <w:t>A entidade deve aplicar este Pronunciamento na contabilização dos custos de empréstimos.</w:t>
      </w:r>
    </w:p>
    <w:p w14:paraId="2F57C87E" w14:textId="77777777" w:rsidR="00371AA5" w:rsidRPr="00371AA5" w:rsidRDefault="00371AA5" w:rsidP="00371AA5">
      <w:pPr>
        <w:widowControl w:val="0"/>
        <w:tabs>
          <w:tab w:val="left" w:pos="6804"/>
        </w:tabs>
        <w:spacing w:before="0" w:after="0"/>
        <w:rPr>
          <w:rFonts w:cs="Arial"/>
          <w:sz w:val="22"/>
          <w:szCs w:val="22"/>
          <w:lang w:val="pt-BR" w:eastAsia="x-none"/>
        </w:rPr>
      </w:pPr>
    </w:p>
    <w:p w14:paraId="55B360FD" w14:textId="77777777" w:rsidR="00371AA5" w:rsidRPr="00371AA5" w:rsidRDefault="00371AA5" w:rsidP="00371AA5">
      <w:pPr>
        <w:widowControl w:val="0"/>
        <w:tabs>
          <w:tab w:val="left" w:pos="6804"/>
        </w:tabs>
        <w:spacing w:before="0" w:after="0"/>
        <w:ind w:left="567" w:hanging="567"/>
        <w:rPr>
          <w:rFonts w:cs="Arial"/>
          <w:sz w:val="22"/>
          <w:szCs w:val="22"/>
          <w:lang w:val="pt-BR" w:eastAsia="x-none"/>
        </w:rPr>
      </w:pPr>
      <w:r w:rsidRPr="00371AA5">
        <w:rPr>
          <w:rFonts w:cs="Arial"/>
          <w:sz w:val="22"/>
          <w:szCs w:val="22"/>
          <w:lang w:val="pt-BR" w:eastAsia="x-none"/>
        </w:rPr>
        <w:t xml:space="preserve">3. </w:t>
      </w:r>
      <w:r w:rsidRPr="00371AA5">
        <w:rPr>
          <w:rFonts w:cs="Arial"/>
          <w:sz w:val="22"/>
          <w:szCs w:val="22"/>
          <w:lang w:val="pt-BR" w:eastAsia="x-none"/>
        </w:rPr>
        <w:tab/>
        <w:t>O Pronunciamento não trata do custo real ou imputado a títulos patrimoniais (custo do capital próprio), incluindo ações preferenciais classificadas no patrimônio líquido.</w:t>
      </w:r>
    </w:p>
    <w:p w14:paraId="5D9CB43B" w14:textId="77777777" w:rsidR="00371AA5" w:rsidRPr="00371AA5" w:rsidRDefault="00371AA5" w:rsidP="00371AA5">
      <w:pPr>
        <w:widowControl w:val="0"/>
        <w:tabs>
          <w:tab w:val="left" w:pos="6804"/>
        </w:tabs>
        <w:spacing w:before="0" w:after="0"/>
        <w:rPr>
          <w:rFonts w:cs="Arial"/>
          <w:sz w:val="22"/>
          <w:szCs w:val="22"/>
          <w:lang w:val="pt-BR" w:eastAsia="x-none"/>
        </w:rPr>
      </w:pPr>
    </w:p>
    <w:p w14:paraId="5FBB31F8" w14:textId="77777777" w:rsidR="00371AA5" w:rsidRPr="00371AA5" w:rsidRDefault="00371AA5" w:rsidP="00371AA5">
      <w:pPr>
        <w:widowControl w:val="0"/>
        <w:tabs>
          <w:tab w:val="left" w:pos="6804"/>
        </w:tabs>
        <w:spacing w:before="0" w:after="0"/>
        <w:ind w:left="567" w:hanging="567"/>
        <w:rPr>
          <w:rFonts w:cs="Arial"/>
          <w:sz w:val="22"/>
          <w:szCs w:val="22"/>
          <w:lang w:val="pt-BR" w:eastAsia="x-none"/>
        </w:rPr>
      </w:pPr>
      <w:r w:rsidRPr="00371AA5">
        <w:rPr>
          <w:rFonts w:cs="Arial"/>
          <w:sz w:val="22"/>
          <w:szCs w:val="22"/>
          <w:lang w:val="pt-BR" w:eastAsia="x-none"/>
        </w:rPr>
        <w:t xml:space="preserve">4. </w:t>
      </w:r>
      <w:r w:rsidRPr="00371AA5">
        <w:rPr>
          <w:rFonts w:cs="Arial"/>
          <w:sz w:val="22"/>
          <w:szCs w:val="22"/>
          <w:lang w:val="pt-BR" w:eastAsia="x-none"/>
        </w:rPr>
        <w:tab/>
        <w:t>A entidade não é requerida a aplicar este Pronunciamento aos custos de empréstimos diretamente atribuíveis à aquisição, construção ou produção de:</w:t>
      </w:r>
    </w:p>
    <w:p w14:paraId="2B78DE92" w14:textId="077BF1EF" w:rsidR="00371AA5" w:rsidRPr="00371AA5" w:rsidRDefault="00FE43EC" w:rsidP="00371AA5">
      <w:pPr>
        <w:widowControl w:val="0"/>
        <w:numPr>
          <w:ilvl w:val="0"/>
          <w:numId w:val="13"/>
        </w:numPr>
        <w:tabs>
          <w:tab w:val="clear" w:pos="1070"/>
        </w:tabs>
        <w:spacing w:before="0" w:after="0"/>
        <w:ind w:left="993" w:hanging="426"/>
        <w:rPr>
          <w:rFonts w:cs="Arial"/>
          <w:bCs/>
          <w:iCs/>
          <w:strike/>
          <w:color w:val="000000"/>
          <w:sz w:val="22"/>
          <w:szCs w:val="22"/>
          <w:lang w:val="pt-BR"/>
        </w:rPr>
      </w:pPr>
      <w:r w:rsidRPr="00371AA5">
        <w:rPr>
          <w:rFonts w:cs="Arial"/>
          <w:bCs/>
          <w:iCs/>
          <w:color w:val="000000"/>
          <w:sz w:val="22"/>
          <w:szCs w:val="22"/>
        </w:rPr>
        <w:t>ativo qualificável mensurado por valor justo, como, por exemplo, ativos biológicos</w:t>
      </w:r>
      <w:r w:rsidRPr="00FE43EC">
        <w:rPr>
          <w:rFonts w:cs="Arial"/>
          <w:bCs/>
          <w:iCs/>
          <w:color w:val="000000"/>
          <w:sz w:val="22"/>
          <w:szCs w:val="22"/>
        </w:rPr>
        <w:t xml:space="preserve"> </w:t>
      </w:r>
      <w:r w:rsidRPr="00371AA5">
        <w:rPr>
          <w:rFonts w:cs="Arial"/>
          <w:bCs/>
          <w:iCs/>
          <w:color w:val="000000"/>
          <w:sz w:val="22"/>
          <w:szCs w:val="22"/>
        </w:rPr>
        <w:t>dentro do alcance do Pronunciamento Técnico CPC 29; ou</w:t>
      </w:r>
    </w:p>
    <w:p w14:paraId="1D5153A1" w14:textId="77777777" w:rsidR="00371AA5" w:rsidRPr="00371AA5" w:rsidRDefault="00371AA5" w:rsidP="00371AA5">
      <w:pPr>
        <w:widowControl w:val="0"/>
        <w:numPr>
          <w:ilvl w:val="0"/>
          <w:numId w:val="13"/>
        </w:numPr>
        <w:tabs>
          <w:tab w:val="clear" w:pos="1070"/>
        </w:tabs>
        <w:spacing w:before="0" w:after="0"/>
        <w:ind w:left="993" w:hanging="426"/>
        <w:rPr>
          <w:rFonts w:cs="Arial"/>
          <w:bCs/>
          <w:iCs/>
          <w:color w:val="000000"/>
          <w:sz w:val="22"/>
          <w:szCs w:val="22"/>
          <w:lang w:val="pt-BR"/>
        </w:rPr>
      </w:pPr>
      <w:r w:rsidRPr="00371AA5">
        <w:rPr>
          <w:rFonts w:cs="Arial"/>
          <w:bCs/>
          <w:iCs/>
          <w:color w:val="000000"/>
          <w:sz w:val="22"/>
          <w:szCs w:val="22"/>
          <w:lang w:val="pt-BR"/>
        </w:rPr>
        <w:t>estoques que são manufaturados ou de outro modo produzidos, em larga escala e em bases repetitivas.</w:t>
      </w:r>
    </w:p>
    <w:p w14:paraId="6DC027F9" w14:textId="3A1C33B4" w:rsidR="00371AA5" w:rsidRPr="00371AA5" w:rsidRDefault="00371AA5" w:rsidP="00371AA5">
      <w:pPr>
        <w:spacing w:before="0" w:after="0"/>
        <w:rPr>
          <w:rFonts w:cs="Arial"/>
          <w:b/>
          <w:sz w:val="22"/>
          <w:szCs w:val="22"/>
          <w:lang w:val="pt-BR"/>
        </w:rPr>
      </w:pPr>
      <w:r w:rsidRPr="00371AA5">
        <w:rPr>
          <w:rFonts w:cs="Arial"/>
          <w:b/>
          <w:sz w:val="22"/>
          <w:szCs w:val="22"/>
          <w:lang w:val="pt-BR"/>
        </w:rPr>
        <w:lastRenderedPageBreak/>
        <w:t>Definições</w:t>
      </w:r>
    </w:p>
    <w:p w14:paraId="7FCA773C" w14:textId="77777777" w:rsidR="00371AA5" w:rsidRPr="00371AA5" w:rsidRDefault="00371AA5" w:rsidP="00371AA5">
      <w:pPr>
        <w:spacing w:before="0" w:after="0"/>
        <w:rPr>
          <w:rFonts w:cs="Arial"/>
          <w:b/>
          <w:sz w:val="22"/>
          <w:szCs w:val="22"/>
          <w:lang w:val="pt-BR"/>
        </w:rPr>
      </w:pPr>
    </w:p>
    <w:p w14:paraId="154D3BB3" w14:textId="77777777" w:rsidR="00371AA5" w:rsidRPr="00371AA5" w:rsidRDefault="00371AA5" w:rsidP="00371AA5">
      <w:pPr>
        <w:widowControl w:val="0"/>
        <w:tabs>
          <w:tab w:val="left" w:pos="6804"/>
        </w:tabs>
        <w:spacing w:before="0" w:after="0"/>
        <w:ind w:left="567" w:hanging="567"/>
        <w:rPr>
          <w:rFonts w:cs="Arial"/>
          <w:sz w:val="22"/>
          <w:szCs w:val="22"/>
          <w:lang w:val="pt-BR" w:eastAsia="x-none"/>
        </w:rPr>
      </w:pPr>
      <w:r w:rsidRPr="00371AA5">
        <w:rPr>
          <w:rFonts w:cs="Arial"/>
          <w:sz w:val="22"/>
          <w:szCs w:val="22"/>
          <w:lang w:val="pt-BR" w:eastAsia="x-none"/>
        </w:rPr>
        <w:t xml:space="preserve">5. </w:t>
      </w:r>
      <w:r w:rsidRPr="00371AA5">
        <w:rPr>
          <w:rFonts w:cs="Arial"/>
          <w:sz w:val="22"/>
          <w:szCs w:val="22"/>
          <w:lang w:val="pt-BR" w:eastAsia="x-none"/>
        </w:rPr>
        <w:tab/>
        <w:t>Este Pronunciamento utiliza os seguintes termos com os significados especificados:</w:t>
      </w:r>
    </w:p>
    <w:p w14:paraId="4EF80217" w14:textId="77777777" w:rsidR="00371AA5" w:rsidRPr="00371AA5" w:rsidRDefault="00371AA5" w:rsidP="00371AA5">
      <w:pPr>
        <w:widowControl w:val="0"/>
        <w:tabs>
          <w:tab w:val="left" w:pos="6804"/>
        </w:tabs>
        <w:spacing w:before="0" w:after="0"/>
        <w:ind w:left="709" w:hanging="709"/>
        <w:rPr>
          <w:rFonts w:cs="Arial"/>
          <w:sz w:val="22"/>
          <w:szCs w:val="22"/>
          <w:lang w:val="pt-BR" w:eastAsia="x-none"/>
        </w:rPr>
      </w:pPr>
    </w:p>
    <w:p w14:paraId="1B7511D0" w14:textId="77777777" w:rsidR="00371AA5" w:rsidRPr="00371AA5" w:rsidRDefault="00371AA5" w:rsidP="00371AA5">
      <w:pPr>
        <w:widowControl w:val="0"/>
        <w:tabs>
          <w:tab w:val="left" w:pos="6804"/>
        </w:tabs>
        <w:spacing w:before="0" w:after="0"/>
        <w:ind w:left="567" w:hanging="567"/>
        <w:rPr>
          <w:rFonts w:cs="Arial"/>
          <w:sz w:val="22"/>
          <w:szCs w:val="22"/>
          <w:lang w:val="pt-BR" w:eastAsia="x-none"/>
        </w:rPr>
      </w:pPr>
      <w:r w:rsidRPr="00371AA5">
        <w:rPr>
          <w:rFonts w:cs="Arial"/>
          <w:i/>
          <w:sz w:val="22"/>
          <w:szCs w:val="22"/>
          <w:lang w:val="pt-BR" w:eastAsia="x-none"/>
        </w:rPr>
        <w:tab/>
        <w:t xml:space="preserve">Custos de empréstimos </w:t>
      </w:r>
      <w:r w:rsidRPr="00371AA5">
        <w:rPr>
          <w:rFonts w:cs="Arial"/>
          <w:sz w:val="22"/>
          <w:szCs w:val="22"/>
          <w:lang w:val="pt-BR" w:eastAsia="x-none"/>
        </w:rPr>
        <w:t>são juros e outros custos que a entidade incorre em conexão com o empréstimo de recursos.</w:t>
      </w:r>
    </w:p>
    <w:p w14:paraId="753909CA" w14:textId="77777777" w:rsidR="00371AA5" w:rsidRPr="00371AA5" w:rsidRDefault="00371AA5" w:rsidP="00371AA5">
      <w:pPr>
        <w:widowControl w:val="0"/>
        <w:tabs>
          <w:tab w:val="left" w:pos="6804"/>
        </w:tabs>
        <w:spacing w:before="0" w:after="0"/>
        <w:ind w:left="709" w:hanging="709"/>
        <w:rPr>
          <w:rFonts w:cs="Arial"/>
          <w:sz w:val="22"/>
          <w:szCs w:val="22"/>
          <w:lang w:val="pt-BR" w:eastAsia="x-none"/>
        </w:rPr>
      </w:pPr>
    </w:p>
    <w:p w14:paraId="28397130" w14:textId="77777777" w:rsidR="00371AA5" w:rsidRPr="00371AA5" w:rsidRDefault="00371AA5" w:rsidP="00371AA5">
      <w:pPr>
        <w:widowControl w:val="0"/>
        <w:tabs>
          <w:tab w:val="left" w:pos="6804"/>
        </w:tabs>
        <w:spacing w:before="0" w:after="0"/>
        <w:ind w:left="567" w:hanging="567"/>
        <w:rPr>
          <w:rFonts w:cs="Arial"/>
          <w:sz w:val="22"/>
          <w:szCs w:val="22"/>
          <w:lang w:val="pt-BR" w:eastAsia="x-none"/>
        </w:rPr>
      </w:pPr>
      <w:r w:rsidRPr="00371AA5">
        <w:rPr>
          <w:rFonts w:cs="Arial"/>
          <w:i/>
          <w:sz w:val="22"/>
          <w:szCs w:val="22"/>
          <w:lang w:val="pt-BR" w:eastAsia="x-none"/>
        </w:rPr>
        <w:tab/>
        <w:t xml:space="preserve">Ativo qualificável </w:t>
      </w:r>
      <w:r w:rsidRPr="00371AA5">
        <w:rPr>
          <w:rFonts w:cs="Arial"/>
          <w:sz w:val="22"/>
          <w:szCs w:val="22"/>
          <w:lang w:val="pt-BR" w:eastAsia="x-none"/>
        </w:rPr>
        <w:t>é um ativo que, necessariamente, demanda um período de tempo substancial para ficar pronto para seu uso ou venda pretendidos.</w:t>
      </w:r>
    </w:p>
    <w:p w14:paraId="3EB7FA02" w14:textId="77777777" w:rsidR="00371AA5" w:rsidRPr="00371AA5" w:rsidRDefault="00371AA5" w:rsidP="00371AA5">
      <w:pPr>
        <w:widowControl w:val="0"/>
        <w:tabs>
          <w:tab w:val="left" w:pos="6804"/>
        </w:tabs>
        <w:spacing w:before="0" w:after="0"/>
        <w:ind w:left="567" w:hanging="567"/>
        <w:rPr>
          <w:rFonts w:cs="Arial"/>
          <w:sz w:val="22"/>
          <w:szCs w:val="22"/>
          <w:lang w:val="pt-BR" w:eastAsia="x-none"/>
        </w:rPr>
      </w:pPr>
    </w:p>
    <w:p w14:paraId="7725EBCA" w14:textId="1DADA0A6" w:rsidR="00371AA5" w:rsidRPr="00371AA5" w:rsidRDefault="00371AA5" w:rsidP="00371AA5">
      <w:pPr>
        <w:widowControl w:val="0"/>
        <w:tabs>
          <w:tab w:val="left" w:pos="6804"/>
        </w:tabs>
        <w:spacing w:before="0" w:after="0"/>
        <w:ind w:left="567" w:right="57" w:hanging="567"/>
        <w:jc w:val="left"/>
        <w:rPr>
          <w:rFonts w:cs="Arial"/>
          <w:sz w:val="22"/>
          <w:szCs w:val="22"/>
          <w:lang w:val="pt-BR" w:eastAsia="x-none"/>
        </w:rPr>
      </w:pPr>
      <w:r w:rsidRPr="00371AA5">
        <w:rPr>
          <w:rFonts w:cs="Arial"/>
          <w:sz w:val="22"/>
          <w:szCs w:val="22"/>
          <w:lang w:val="pt-BR" w:eastAsia="x-none"/>
        </w:rPr>
        <w:t xml:space="preserve">6. </w:t>
      </w:r>
      <w:r w:rsidRPr="00371AA5">
        <w:rPr>
          <w:rFonts w:cs="Arial"/>
          <w:sz w:val="22"/>
          <w:szCs w:val="22"/>
          <w:lang w:val="pt-BR" w:eastAsia="x-none"/>
        </w:rPr>
        <w:tab/>
        <w:t xml:space="preserve">Custos de empréstimos podem incluir: </w:t>
      </w:r>
    </w:p>
    <w:p w14:paraId="04D39B13" w14:textId="462DAEC6" w:rsidR="00371AA5" w:rsidRPr="00371AA5" w:rsidRDefault="00D765E7" w:rsidP="00371AA5">
      <w:pPr>
        <w:widowControl w:val="0"/>
        <w:numPr>
          <w:ilvl w:val="0"/>
          <w:numId w:val="14"/>
        </w:numPr>
        <w:spacing w:before="0" w:after="0"/>
        <w:ind w:left="993" w:hanging="426"/>
        <w:rPr>
          <w:rFonts w:cs="Arial"/>
          <w:bCs/>
          <w:iCs/>
          <w:strike/>
          <w:color w:val="000000"/>
          <w:sz w:val="22"/>
          <w:szCs w:val="22"/>
          <w:lang w:val="pt-BR"/>
        </w:rPr>
      </w:pPr>
      <w:r w:rsidRPr="00371AA5">
        <w:rPr>
          <w:rFonts w:cs="Arial"/>
          <w:bCs/>
          <w:sz w:val="22"/>
          <w:szCs w:val="22"/>
        </w:rPr>
        <w:t>encargos financeiros calculados com base no método da taxa efetiva de juros, como descrito no CPC 08 – Custos de Transação e Prêmios na Emissão de Títulos e Valores Mobiliários e no CPC 48 – Instrumentos Financeiros</w:t>
      </w:r>
      <w:r>
        <w:rPr>
          <w:rFonts w:cs="Arial"/>
          <w:bCs/>
          <w:sz w:val="22"/>
          <w:szCs w:val="22"/>
        </w:rPr>
        <w:t>;</w:t>
      </w:r>
    </w:p>
    <w:p w14:paraId="657EFC88" w14:textId="77777777" w:rsidR="00371AA5" w:rsidRPr="00371AA5" w:rsidRDefault="00371AA5" w:rsidP="00371AA5">
      <w:pPr>
        <w:widowControl w:val="0"/>
        <w:numPr>
          <w:ilvl w:val="0"/>
          <w:numId w:val="14"/>
        </w:numPr>
        <w:spacing w:before="0" w:after="0"/>
        <w:ind w:left="993" w:hanging="426"/>
        <w:rPr>
          <w:rFonts w:cs="Arial"/>
          <w:bCs/>
          <w:iCs/>
          <w:color w:val="000000"/>
          <w:sz w:val="22"/>
          <w:szCs w:val="22"/>
          <w:lang w:val="pt-BR"/>
        </w:rPr>
      </w:pPr>
      <w:r w:rsidRPr="00371AA5">
        <w:rPr>
          <w:rFonts w:cs="Arial"/>
          <w:bCs/>
          <w:iCs/>
          <w:color w:val="000000"/>
          <w:sz w:val="22"/>
          <w:szCs w:val="22"/>
          <w:lang w:val="pt-BR"/>
        </w:rPr>
        <w:t>(eliminada);</w:t>
      </w:r>
    </w:p>
    <w:p w14:paraId="53AAD8C7" w14:textId="77777777" w:rsidR="00371AA5" w:rsidRPr="00371AA5" w:rsidRDefault="00371AA5" w:rsidP="00371AA5">
      <w:pPr>
        <w:widowControl w:val="0"/>
        <w:numPr>
          <w:ilvl w:val="0"/>
          <w:numId w:val="14"/>
        </w:numPr>
        <w:spacing w:before="0" w:after="0"/>
        <w:ind w:left="993" w:hanging="426"/>
        <w:rPr>
          <w:rFonts w:cs="Arial"/>
          <w:bCs/>
          <w:iCs/>
          <w:color w:val="000000"/>
          <w:sz w:val="22"/>
          <w:szCs w:val="22"/>
          <w:lang w:val="pt-BR"/>
        </w:rPr>
      </w:pPr>
      <w:r w:rsidRPr="00371AA5">
        <w:rPr>
          <w:rFonts w:cs="Arial"/>
          <w:bCs/>
          <w:iCs/>
          <w:color w:val="000000"/>
          <w:sz w:val="22"/>
          <w:szCs w:val="22"/>
          <w:lang w:val="pt-BR"/>
        </w:rPr>
        <w:t>(eliminada);</w:t>
      </w:r>
    </w:p>
    <w:p w14:paraId="5C4B2F4B" w14:textId="7B75B8CC" w:rsidR="00371AA5" w:rsidRPr="00371AA5" w:rsidRDefault="00D765E7" w:rsidP="00371AA5">
      <w:pPr>
        <w:widowControl w:val="0"/>
        <w:numPr>
          <w:ilvl w:val="0"/>
          <w:numId w:val="14"/>
        </w:numPr>
        <w:spacing w:before="0" w:after="0"/>
        <w:ind w:left="993" w:hanging="426"/>
        <w:rPr>
          <w:rFonts w:cs="Arial"/>
          <w:bCs/>
          <w:iCs/>
          <w:strike/>
          <w:color w:val="000000"/>
          <w:sz w:val="22"/>
          <w:szCs w:val="22"/>
          <w:lang w:val="pt-BR"/>
        </w:rPr>
      </w:pPr>
      <w:r w:rsidRPr="00371AA5">
        <w:rPr>
          <w:rFonts w:cs="Arial"/>
          <w:sz w:val="22"/>
          <w:szCs w:val="22"/>
        </w:rPr>
        <w:t>juros sobre passivos de arrendamento reconhecidos de acordo com o CPC 06 – Arrendamentos; e</w:t>
      </w:r>
    </w:p>
    <w:p w14:paraId="23502E7A" w14:textId="77777777" w:rsidR="00371AA5" w:rsidRPr="00371AA5" w:rsidRDefault="00371AA5" w:rsidP="00371AA5">
      <w:pPr>
        <w:widowControl w:val="0"/>
        <w:numPr>
          <w:ilvl w:val="0"/>
          <w:numId w:val="14"/>
        </w:numPr>
        <w:spacing w:before="0" w:after="0"/>
        <w:ind w:left="993" w:hanging="426"/>
        <w:rPr>
          <w:rFonts w:cs="Arial"/>
          <w:bCs/>
          <w:iCs/>
          <w:color w:val="000000"/>
          <w:sz w:val="22"/>
          <w:szCs w:val="22"/>
          <w:lang w:val="pt-BR"/>
        </w:rPr>
      </w:pPr>
      <w:r w:rsidRPr="00371AA5">
        <w:rPr>
          <w:rFonts w:cs="Arial"/>
          <w:bCs/>
          <w:iCs/>
          <w:color w:val="000000"/>
          <w:sz w:val="22"/>
          <w:szCs w:val="22"/>
          <w:lang w:val="pt-BR"/>
        </w:rPr>
        <w:t>variações cambiais decorrentes de empréstimos em moeda estrangeira, na extensão em que elas sejam consideradas como ajuste, para mais ou para menos, do custo dos juros.</w:t>
      </w:r>
    </w:p>
    <w:p w14:paraId="5613D66F" w14:textId="77777777" w:rsidR="00371AA5" w:rsidRPr="00371AA5" w:rsidRDefault="00371AA5" w:rsidP="00371AA5">
      <w:pPr>
        <w:widowControl w:val="0"/>
        <w:spacing w:before="0" w:after="0"/>
        <w:ind w:left="710"/>
        <w:rPr>
          <w:rFonts w:cs="Arial"/>
          <w:bCs/>
          <w:iCs/>
          <w:color w:val="000000"/>
          <w:sz w:val="22"/>
          <w:szCs w:val="22"/>
          <w:lang w:val="pt-BR"/>
        </w:rPr>
      </w:pPr>
    </w:p>
    <w:p w14:paraId="5216518A" w14:textId="77777777" w:rsidR="00371AA5" w:rsidRPr="00371AA5" w:rsidRDefault="00371AA5" w:rsidP="00371AA5">
      <w:pPr>
        <w:widowControl w:val="0"/>
        <w:tabs>
          <w:tab w:val="left" w:pos="6804"/>
        </w:tabs>
        <w:spacing w:before="0" w:after="0"/>
        <w:ind w:left="567" w:hanging="567"/>
        <w:rPr>
          <w:rFonts w:cs="Arial"/>
          <w:sz w:val="22"/>
          <w:szCs w:val="22"/>
          <w:lang w:val="pt-BR" w:eastAsia="x-none"/>
        </w:rPr>
      </w:pPr>
      <w:r w:rsidRPr="00371AA5">
        <w:rPr>
          <w:rFonts w:cs="Arial"/>
          <w:sz w:val="22"/>
          <w:szCs w:val="22"/>
          <w:lang w:val="pt-BR" w:eastAsia="x-none"/>
        </w:rPr>
        <w:t xml:space="preserve">7. </w:t>
      </w:r>
      <w:r w:rsidRPr="00371AA5">
        <w:rPr>
          <w:rFonts w:cs="Arial"/>
          <w:sz w:val="22"/>
          <w:szCs w:val="22"/>
          <w:lang w:val="pt-BR" w:eastAsia="x-none"/>
        </w:rPr>
        <w:tab/>
        <w:t>Dependendo das circunstâncias, um ou mais dos seguintes ativos podem ser considerados ativos qualificáveis:</w:t>
      </w:r>
    </w:p>
    <w:p w14:paraId="3D430695" w14:textId="77777777" w:rsidR="00371AA5" w:rsidRPr="00371AA5" w:rsidRDefault="00371AA5" w:rsidP="00371AA5">
      <w:pPr>
        <w:widowControl w:val="0"/>
        <w:numPr>
          <w:ilvl w:val="0"/>
          <w:numId w:val="15"/>
        </w:numPr>
        <w:tabs>
          <w:tab w:val="num" w:pos="993"/>
        </w:tabs>
        <w:spacing w:before="0" w:after="0"/>
        <w:ind w:left="993" w:hanging="426"/>
        <w:rPr>
          <w:rFonts w:cs="Arial"/>
          <w:bCs/>
          <w:iCs/>
          <w:color w:val="000000"/>
          <w:sz w:val="22"/>
          <w:szCs w:val="22"/>
          <w:lang w:val="pt-BR"/>
        </w:rPr>
      </w:pPr>
      <w:r w:rsidRPr="00371AA5">
        <w:rPr>
          <w:rFonts w:cs="Arial"/>
          <w:bCs/>
          <w:iCs/>
          <w:color w:val="000000"/>
          <w:sz w:val="22"/>
          <w:szCs w:val="22"/>
          <w:lang w:val="pt-BR"/>
        </w:rPr>
        <w:t>estoques;</w:t>
      </w:r>
    </w:p>
    <w:p w14:paraId="4F6047BD" w14:textId="77777777" w:rsidR="00371AA5" w:rsidRPr="00371AA5" w:rsidRDefault="00371AA5" w:rsidP="00371AA5">
      <w:pPr>
        <w:widowControl w:val="0"/>
        <w:numPr>
          <w:ilvl w:val="0"/>
          <w:numId w:val="15"/>
        </w:numPr>
        <w:tabs>
          <w:tab w:val="num" w:pos="993"/>
        </w:tabs>
        <w:spacing w:before="0" w:after="0"/>
        <w:ind w:left="993" w:hanging="426"/>
        <w:rPr>
          <w:rFonts w:cs="Arial"/>
          <w:bCs/>
          <w:iCs/>
          <w:color w:val="000000"/>
          <w:sz w:val="22"/>
          <w:szCs w:val="22"/>
          <w:lang w:val="pt-BR"/>
        </w:rPr>
      </w:pPr>
      <w:r w:rsidRPr="00371AA5">
        <w:rPr>
          <w:rFonts w:cs="Arial"/>
          <w:bCs/>
          <w:iCs/>
          <w:color w:val="000000"/>
          <w:sz w:val="22"/>
          <w:szCs w:val="22"/>
          <w:lang w:val="pt-BR"/>
        </w:rPr>
        <w:t>plantas industriais para manufatura;</w:t>
      </w:r>
    </w:p>
    <w:p w14:paraId="3BACEDAF" w14:textId="77777777" w:rsidR="00371AA5" w:rsidRPr="00371AA5" w:rsidRDefault="00371AA5" w:rsidP="00371AA5">
      <w:pPr>
        <w:widowControl w:val="0"/>
        <w:numPr>
          <w:ilvl w:val="0"/>
          <w:numId w:val="15"/>
        </w:numPr>
        <w:tabs>
          <w:tab w:val="num" w:pos="993"/>
        </w:tabs>
        <w:spacing w:before="0" w:after="0"/>
        <w:ind w:left="993" w:hanging="426"/>
        <w:rPr>
          <w:rFonts w:cs="Arial"/>
          <w:bCs/>
          <w:iCs/>
          <w:color w:val="000000"/>
          <w:sz w:val="22"/>
          <w:szCs w:val="22"/>
          <w:lang w:val="pt-BR"/>
        </w:rPr>
      </w:pPr>
      <w:r w:rsidRPr="00371AA5">
        <w:rPr>
          <w:rFonts w:cs="Arial"/>
          <w:bCs/>
          <w:iCs/>
          <w:color w:val="000000"/>
          <w:sz w:val="22"/>
          <w:szCs w:val="22"/>
          <w:lang w:val="pt-BR"/>
        </w:rPr>
        <w:t>usinas de geração de energia;</w:t>
      </w:r>
    </w:p>
    <w:p w14:paraId="74272C1C" w14:textId="77777777" w:rsidR="00371AA5" w:rsidRPr="00371AA5" w:rsidRDefault="00371AA5" w:rsidP="00371AA5">
      <w:pPr>
        <w:widowControl w:val="0"/>
        <w:numPr>
          <w:ilvl w:val="0"/>
          <w:numId w:val="15"/>
        </w:numPr>
        <w:tabs>
          <w:tab w:val="num" w:pos="993"/>
        </w:tabs>
        <w:spacing w:before="0" w:after="0"/>
        <w:ind w:left="993" w:hanging="426"/>
        <w:rPr>
          <w:rFonts w:cs="Arial"/>
          <w:bCs/>
          <w:iCs/>
          <w:color w:val="000000"/>
          <w:sz w:val="22"/>
          <w:szCs w:val="22"/>
          <w:lang w:val="pt-BR"/>
        </w:rPr>
      </w:pPr>
      <w:r w:rsidRPr="00371AA5">
        <w:rPr>
          <w:rFonts w:cs="Arial"/>
          <w:bCs/>
          <w:iCs/>
          <w:color w:val="000000"/>
          <w:sz w:val="22"/>
          <w:szCs w:val="22"/>
          <w:lang w:val="pt-BR"/>
        </w:rPr>
        <w:t>ativos intangíveis;</w:t>
      </w:r>
    </w:p>
    <w:p w14:paraId="1DD430B3" w14:textId="77777777" w:rsidR="00371AA5" w:rsidRPr="00371AA5" w:rsidRDefault="00371AA5" w:rsidP="00371AA5">
      <w:pPr>
        <w:widowControl w:val="0"/>
        <w:numPr>
          <w:ilvl w:val="0"/>
          <w:numId w:val="15"/>
        </w:numPr>
        <w:tabs>
          <w:tab w:val="num" w:pos="993"/>
        </w:tabs>
        <w:spacing w:before="0" w:after="0"/>
        <w:ind w:left="993" w:hanging="426"/>
        <w:rPr>
          <w:rFonts w:cs="Arial"/>
          <w:bCs/>
          <w:iCs/>
          <w:color w:val="000000"/>
          <w:sz w:val="22"/>
          <w:szCs w:val="22"/>
          <w:lang w:val="pt-BR"/>
        </w:rPr>
      </w:pPr>
      <w:r w:rsidRPr="00371AA5">
        <w:rPr>
          <w:rFonts w:cs="Arial"/>
          <w:bCs/>
          <w:iCs/>
          <w:color w:val="000000"/>
          <w:sz w:val="22"/>
          <w:szCs w:val="22"/>
          <w:lang w:val="pt-BR"/>
        </w:rPr>
        <w:t>propriedades para investimentos;</w:t>
      </w:r>
    </w:p>
    <w:p w14:paraId="705D06AF" w14:textId="7C8CD939" w:rsidR="00371AA5" w:rsidRPr="00371AA5" w:rsidRDefault="00371AA5" w:rsidP="00371AA5">
      <w:pPr>
        <w:spacing w:before="0" w:after="0"/>
        <w:ind w:left="993" w:right="57" w:hanging="426"/>
        <w:rPr>
          <w:rFonts w:cs="Arial"/>
          <w:bCs/>
          <w:iCs/>
          <w:color w:val="000000"/>
          <w:sz w:val="22"/>
          <w:szCs w:val="22"/>
        </w:rPr>
      </w:pPr>
      <w:r w:rsidRPr="00371AA5">
        <w:rPr>
          <w:rFonts w:cs="Arial"/>
          <w:bCs/>
          <w:iCs/>
          <w:color w:val="000000"/>
          <w:sz w:val="22"/>
          <w:szCs w:val="22"/>
        </w:rPr>
        <w:t xml:space="preserve">(f) </w:t>
      </w:r>
      <w:r w:rsidRPr="00371AA5">
        <w:rPr>
          <w:rFonts w:cs="Arial"/>
          <w:bCs/>
          <w:iCs/>
          <w:color w:val="000000"/>
          <w:sz w:val="22"/>
          <w:szCs w:val="22"/>
        </w:rPr>
        <w:tab/>
        <w:t xml:space="preserve">plantas portadoras. </w:t>
      </w:r>
    </w:p>
    <w:p w14:paraId="3BD6689A" w14:textId="77777777" w:rsidR="00371AA5" w:rsidRPr="00371AA5" w:rsidRDefault="00371AA5" w:rsidP="00371AA5">
      <w:pPr>
        <w:widowControl w:val="0"/>
        <w:tabs>
          <w:tab w:val="left" w:pos="6804"/>
        </w:tabs>
        <w:spacing w:before="0" w:after="0"/>
        <w:ind w:left="567" w:right="57" w:hanging="567"/>
        <w:rPr>
          <w:rFonts w:cs="Arial"/>
          <w:sz w:val="22"/>
          <w:szCs w:val="22"/>
          <w:lang w:val="pt-BR" w:eastAsia="x-none"/>
        </w:rPr>
      </w:pPr>
      <w:r w:rsidRPr="00371AA5">
        <w:rPr>
          <w:rFonts w:cs="Arial"/>
          <w:sz w:val="22"/>
          <w:szCs w:val="22"/>
          <w:lang w:val="pt-BR" w:eastAsia="x-none"/>
        </w:rPr>
        <w:tab/>
        <w:t>Ativos financeiros e estoques que são manufaturados, ou de outro modo produzidos, ao longo de um curto período de tempo, não são ativos qualificáveis. Ativos que estão prontos para seu uso ou venda pretendidos quando adquiridos não são ativos qualificáveis.</w:t>
      </w:r>
    </w:p>
    <w:p w14:paraId="2B77ADB2" w14:textId="77777777" w:rsidR="00371AA5" w:rsidRPr="00371AA5" w:rsidRDefault="00371AA5" w:rsidP="00371AA5">
      <w:pPr>
        <w:spacing w:before="0" w:after="0"/>
        <w:rPr>
          <w:rFonts w:cs="Arial"/>
          <w:b/>
          <w:sz w:val="22"/>
          <w:szCs w:val="22"/>
          <w:lang w:val="pt-BR"/>
        </w:rPr>
      </w:pPr>
    </w:p>
    <w:p w14:paraId="294F3FA9" w14:textId="77777777" w:rsidR="00371AA5" w:rsidRPr="00371AA5" w:rsidRDefault="00371AA5" w:rsidP="00371AA5">
      <w:pPr>
        <w:spacing w:before="0" w:after="0"/>
        <w:rPr>
          <w:rFonts w:cs="Arial"/>
          <w:b/>
          <w:sz w:val="22"/>
          <w:szCs w:val="22"/>
          <w:lang w:val="pt-BR"/>
        </w:rPr>
      </w:pPr>
      <w:r w:rsidRPr="00371AA5">
        <w:rPr>
          <w:rFonts w:cs="Arial"/>
          <w:b/>
          <w:sz w:val="22"/>
          <w:szCs w:val="22"/>
          <w:lang w:val="pt-BR"/>
        </w:rPr>
        <w:t>Reconhecimento</w:t>
      </w:r>
    </w:p>
    <w:p w14:paraId="604A007F" w14:textId="77777777" w:rsidR="00371AA5" w:rsidRPr="00371AA5" w:rsidRDefault="00371AA5" w:rsidP="00371AA5">
      <w:pPr>
        <w:spacing w:before="0" w:after="0"/>
        <w:rPr>
          <w:rFonts w:cs="Arial"/>
          <w:b/>
          <w:sz w:val="22"/>
          <w:szCs w:val="22"/>
          <w:lang w:val="pt-BR"/>
        </w:rPr>
      </w:pPr>
    </w:p>
    <w:p w14:paraId="1201FAA1" w14:textId="77777777" w:rsidR="00371AA5" w:rsidRPr="00371AA5" w:rsidRDefault="00371AA5" w:rsidP="00371AA5">
      <w:pPr>
        <w:widowControl w:val="0"/>
        <w:tabs>
          <w:tab w:val="left" w:pos="6804"/>
        </w:tabs>
        <w:spacing w:before="0" w:after="0"/>
        <w:ind w:left="567" w:hanging="567"/>
        <w:rPr>
          <w:rFonts w:cs="Arial"/>
          <w:sz w:val="22"/>
          <w:szCs w:val="22"/>
          <w:lang w:val="pt-BR" w:eastAsia="x-none"/>
        </w:rPr>
      </w:pPr>
      <w:r w:rsidRPr="00371AA5">
        <w:rPr>
          <w:rFonts w:cs="Arial"/>
          <w:sz w:val="22"/>
          <w:szCs w:val="22"/>
          <w:lang w:val="pt-BR" w:eastAsia="x-none"/>
        </w:rPr>
        <w:t xml:space="preserve">8. </w:t>
      </w:r>
      <w:r w:rsidRPr="00371AA5">
        <w:rPr>
          <w:rFonts w:cs="Arial"/>
          <w:sz w:val="22"/>
          <w:szCs w:val="22"/>
          <w:lang w:val="pt-BR" w:eastAsia="x-none"/>
        </w:rPr>
        <w:tab/>
        <w:t>A entidade deve capitalizar os custos de empréstimos que são diretamente atribuíveis à aquisição, construção ou produção de ativo qualificável como parte do custo do ativo. A entidade deve reconhecer os outros custos de empréstimos como despesa no período em que são incorridos.</w:t>
      </w:r>
    </w:p>
    <w:p w14:paraId="70F8BAF1" w14:textId="77777777" w:rsidR="00371AA5" w:rsidRPr="00371AA5" w:rsidRDefault="00371AA5" w:rsidP="00371AA5">
      <w:pPr>
        <w:widowControl w:val="0"/>
        <w:tabs>
          <w:tab w:val="left" w:pos="6804"/>
        </w:tabs>
        <w:spacing w:before="0" w:after="0"/>
        <w:rPr>
          <w:rFonts w:cs="Arial"/>
          <w:sz w:val="22"/>
          <w:szCs w:val="22"/>
          <w:lang w:val="pt-BR" w:eastAsia="x-none"/>
        </w:rPr>
      </w:pPr>
    </w:p>
    <w:p w14:paraId="1128A232" w14:textId="77777777" w:rsidR="00371AA5" w:rsidRPr="00371AA5" w:rsidRDefault="00371AA5" w:rsidP="00371AA5">
      <w:pPr>
        <w:widowControl w:val="0"/>
        <w:tabs>
          <w:tab w:val="left" w:pos="6804"/>
        </w:tabs>
        <w:spacing w:before="0" w:after="0"/>
        <w:ind w:left="567" w:hanging="567"/>
        <w:rPr>
          <w:rFonts w:cs="Arial"/>
          <w:sz w:val="22"/>
          <w:szCs w:val="22"/>
          <w:lang w:val="pt-BR" w:eastAsia="x-none"/>
        </w:rPr>
      </w:pPr>
      <w:r w:rsidRPr="00371AA5">
        <w:rPr>
          <w:rFonts w:cs="Arial"/>
          <w:sz w:val="22"/>
          <w:szCs w:val="22"/>
          <w:lang w:val="pt-BR" w:eastAsia="x-none"/>
        </w:rPr>
        <w:t xml:space="preserve">9. </w:t>
      </w:r>
      <w:r w:rsidRPr="00371AA5">
        <w:rPr>
          <w:rFonts w:cs="Arial"/>
          <w:sz w:val="22"/>
          <w:szCs w:val="22"/>
          <w:lang w:val="pt-BR" w:eastAsia="x-none"/>
        </w:rPr>
        <w:tab/>
        <w:t>Custos de empréstimos que são diretamente atribuíveis à aquisição, construção ou produção de ativo qualificável devem ser capitalizados como parte do custo do ativo quando for provável que eles irão resultar em benefícios econômicos futuros para a entidade e que tais custos possam ser mensurados com confiabilidade. Quando a entidade aplicar o Pronunciamento Técnico CPC 42 – Contabilidade e Evidenciação em Economia Altamente Inflacionária (ou a sistemática de Correção Monetária Integral, enquanto não aprovado esse Pronunciamento Técnico), deve reconhecer como parte dos custos de empréstimos atribuíveis aos ativos qualificáveis apenas a parcela excedente à inflação.</w:t>
      </w:r>
    </w:p>
    <w:p w14:paraId="46C3E9F1" w14:textId="77777777" w:rsidR="00371AA5" w:rsidRPr="00371AA5" w:rsidRDefault="00371AA5" w:rsidP="00371AA5">
      <w:pPr>
        <w:spacing w:before="0" w:after="0"/>
        <w:rPr>
          <w:rFonts w:cs="Arial"/>
          <w:b/>
          <w:sz w:val="22"/>
          <w:szCs w:val="22"/>
          <w:lang w:val="pt-BR"/>
        </w:rPr>
      </w:pPr>
      <w:r w:rsidRPr="00371AA5">
        <w:rPr>
          <w:rFonts w:cs="Arial"/>
          <w:b/>
          <w:sz w:val="22"/>
          <w:szCs w:val="22"/>
          <w:lang w:val="pt-BR"/>
        </w:rPr>
        <w:lastRenderedPageBreak/>
        <w:t>Custos de empréstimos elegíveis à capitalização</w:t>
      </w:r>
    </w:p>
    <w:p w14:paraId="64F29173" w14:textId="77777777" w:rsidR="00371AA5" w:rsidRPr="00371AA5" w:rsidRDefault="00371AA5" w:rsidP="00371AA5">
      <w:pPr>
        <w:spacing w:before="0" w:after="0"/>
        <w:rPr>
          <w:rFonts w:cs="Arial"/>
          <w:b/>
          <w:sz w:val="22"/>
          <w:szCs w:val="22"/>
          <w:lang w:val="pt-BR"/>
        </w:rPr>
      </w:pPr>
    </w:p>
    <w:p w14:paraId="48C2CCE2" w14:textId="77777777" w:rsidR="00371AA5" w:rsidRPr="00371AA5" w:rsidRDefault="00371AA5" w:rsidP="00371AA5">
      <w:pPr>
        <w:widowControl w:val="0"/>
        <w:tabs>
          <w:tab w:val="left" w:pos="6804"/>
        </w:tabs>
        <w:spacing w:before="0" w:after="0"/>
        <w:ind w:left="567" w:hanging="567"/>
        <w:rPr>
          <w:rFonts w:cs="Arial"/>
          <w:sz w:val="22"/>
          <w:szCs w:val="22"/>
          <w:lang w:val="pt-BR" w:eastAsia="x-none"/>
        </w:rPr>
      </w:pPr>
      <w:r w:rsidRPr="00371AA5">
        <w:rPr>
          <w:rFonts w:cs="Arial"/>
          <w:sz w:val="22"/>
          <w:szCs w:val="22"/>
          <w:lang w:val="pt-BR" w:eastAsia="x-none"/>
        </w:rPr>
        <w:t xml:space="preserve">10. </w:t>
      </w:r>
      <w:r w:rsidRPr="00371AA5">
        <w:rPr>
          <w:rFonts w:cs="Arial"/>
          <w:sz w:val="22"/>
          <w:szCs w:val="22"/>
          <w:lang w:val="pt-BR" w:eastAsia="x-none"/>
        </w:rPr>
        <w:tab/>
        <w:t>Os custos de empréstimos que são atribuíveis diretamente à aquisição, construção ou produção de um ativo qualificável são aqueles que seriam evitados se os gastos com o ativo qualificável não tivessem sido feitos. Quando a entidade toma emprestados recursos especificamente com o propósito de obter um ativo qualificável particular, os custos do empréstimo que são diretamente atribuíveis ao ativo qualificável podem ser prontamente identificados.</w:t>
      </w:r>
    </w:p>
    <w:p w14:paraId="743AC75A" w14:textId="77777777" w:rsidR="00371AA5" w:rsidRPr="00371AA5" w:rsidRDefault="00371AA5" w:rsidP="00371AA5">
      <w:pPr>
        <w:widowControl w:val="0"/>
        <w:tabs>
          <w:tab w:val="left" w:pos="6804"/>
        </w:tabs>
        <w:spacing w:before="0" w:after="0"/>
        <w:rPr>
          <w:rFonts w:cs="Arial"/>
          <w:sz w:val="22"/>
          <w:szCs w:val="22"/>
          <w:lang w:val="pt-BR" w:eastAsia="x-none"/>
        </w:rPr>
      </w:pPr>
    </w:p>
    <w:p w14:paraId="0DFEABF4" w14:textId="77777777" w:rsidR="00371AA5" w:rsidRPr="00371AA5" w:rsidRDefault="00371AA5" w:rsidP="00371AA5">
      <w:pPr>
        <w:widowControl w:val="0"/>
        <w:tabs>
          <w:tab w:val="left" w:pos="6804"/>
        </w:tabs>
        <w:spacing w:before="0" w:after="0"/>
        <w:ind w:left="567" w:hanging="567"/>
        <w:rPr>
          <w:rFonts w:cs="Arial"/>
          <w:sz w:val="22"/>
          <w:szCs w:val="22"/>
          <w:lang w:val="pt-BR" w:eastAsia="x-none"/>
        </w:rPr>
      </w:pPr>
      <w:r w:rsidRPr="00371AA5">
        <w:rPr>
          <w:rFonts w:cs="Arial"/>
          <w:sz w:val="22"/>
          <w:szCs w:val="22"/>
          <w:lang w:val="pt-BR" w:eastAsia="x-none"/>
        </w:rPr>
        <w:t xml:space="preserve">11. </w:t>
      </w:r>
      <w:r w:rsidRPr="00371AA5">
        <w:rPr>
          <w:rFonts w:cs="Arial"/>
          <w:sz w:val="22"/>
          <w:szCs w:val="22"/>
          <w:lang w:val="pt-BR" w:eastAsia="x-none"/>
        </w:rPr>
        <w:tab/>
        <w:t>Pode ser difícil identificar uma relação direta entre empréstimos específicos e um ativo qualificável e determinar os empréstimos que poderiam ter sido evitados. Tal dificuldade ocorre, por exemplo, quando a atividade de financiamento da entidade é coordenada de forma centralizada num conjunto de empresas sob controle comum. Dificuldades também surgem quando a entidade utiliza uma gama variada de instrumentos de dívida para obter recursos com taxas de juros variadas e empresta tais recursos para outras entidades do mesmo grupo econômico em diversas bases. Outras complicações surgem por meio do uso de empréstimos denominados ou relacionados a moedas estrangeiras, quando o grupo econômico opera em economias altamente inflacionárias e quando há flutuações nas taxas de câmbio. Como resultado, pode ser difícil a determinação do montante dos custos de empréstimos que devam ser diretamente atribuíveis à aquisição, construção ou produção de um ativo qualificável, sendo requerido o exercício de julgamento nessas circunstâncias.</w:t>
      </w:r>
    </w:p>
    <w:p w14:paraId="7E17649D" w14:textId="77777777" w:rsidR="00371AA5" w:rsidRPr="00371AA5" w:rsidRDefault="00371AA5" w:rsidP="00371AA5">
      <w:pPr>
        <w:widowControl w:val="0"/>
        <w:tabs>
          <w:tab w:val="left" w:pos="6804"/>
        </w:tabs>
        <w:spacing w:before="0" w:after="0"/>
        <w:rPr>
          <w:rFonts w:cs="Arial"/>
          <w:sz w:val="22"/>
          <w:szCs w:val="22"/>
          <w:lang w:val="pt-BR" w:eastAsia="x-none"/>
        </w:rPr>
      </w:pPr>
    </w:p>
    <w:p w14:paraId="627BC4FB" w14:textId="77777777" w:rsidR="00371AA5" w:rsidRPr="00371AA5" w:rsidRDefault="00371AA5" w:rsidP="00371AA5">
      <w:pPr>
        <w:widowControl w:val="0"/>
        <w:tabs>
          <w:tab w:val="left" w:pos="6804"/>
        </w:tabs>
        <w:spacing w:before="0" w:after="0"/>
        <w:ind w:left="567" w:hanging="567"/>
        <w:rPr>
          <w:rFonts w:cs="Arial"/>
          <w:sz w:val="22"/>
          <w:szCs w:val="22"/>
          <w:lang w:val="pt-BR" w:eastAsia="x-none"/>
        </w:rPr>
      </w:pPr>
      <w:r w:rsidRPr="00371AA5">
        <w:rPr>
          <w:rFonts w:cs="Arial"/>
          <w:sz w:val="22"/>
          <w:szCs w:val="22"/>
          <w:lang w:val="pt-BR" w:eastAsia="x-none"/>
        </w:rPr>
        <w:t xml:space="preserve">12. </w:t>
      </w:r>
      <w:r w:rsidRPr="00371AA5">
        <w:rPr>
          <w:rFonts w:cs="Arial"/>
          <w:sz w:val="22"/>
          <w:szCs w:val="22"/>
          <w:lang w:val="pt-BR" w:eastAsia="x-none"/>
        </w:rPr>
        <w:tab/>
        <w:t>Na extensão em que a entidade toma recursos emprestados especificamente com o propósito de obter um ativo qualificável, a entidade deve determinar o montante dos custos dos empréstimos elegíveis à capitalização como sendo aqueles efetivamente incorridos sobre tais empréstimos durante o período, menos qualquer receita financeira decorrente do investimento temporário de tais empréstimos.</w:t>
      </w:r>
    </w:p>
    <w:p w14:paraId="4140CB64" w14:textId="77777777" w:rsidR="00371AA5" w:rsidRPr="00371AA5" w:rsidRDefault="00371AA5" w:rsidP="00371AA5">
      <w:pPr>
        <w:widowControl w:val="0"/>
        <w:tabs>
          <w:tab w:val="left" w:pos="6804"/>
        </w:tabs>
        <w:spacing w:before="0" w:after="0"/>
        <w:rPr>
          <w:rFonts w:cs="Arial"/>
          <w:sz w:val="22"/>
          <w:szCs w:val="22"/>
          <w:lang w:val="pt-BR" w:eastAsia="x-none"/>
        </w:rPr>
      </w:pPr>
    </w:p>
    <w:p w14:paraId="6DC79EFB" w14:textId="77777777" w:rsidR="00371AA5" w:rsidRPr="00371AA5" w:rsidRDefault="00371AA5" w:rsidP="00371AA5">
      <w:pPr>
        <w:widowControl w:val="0"/>
        <w:tabs>
          <w:tab w:val="left" w:pos="6804"/>
        </w:tabs>
        <w:spacing w:before="0" w:after="0"/>
        <w:ind w:left="567" w:hanging="567"/>
        <w:rPr>
          <w:rFonts w:cs="Arial"/>
          <w:sz w:val="22"/>
          <w:szCs w:val="22"/>
          <w:lang w:val="pt-BR" w:eastAsia="x-none"/>
        </w:rPr>
      </w:pPr>
      <w:r w:rsidRPr="00371AA5">
        <w:rPr>
          <w:rFonts w:cs="Arial"/>
          <w:sz w:val="22"/>
          <w:szCs w:val="22"/>
          <w:lang w:val="pt-BR" w:eastAsia="x-none"/>
        </w:rPr>
        <w:t xml:space="preserve">13. </w:t>
      </w:r>
      <w:r w:rsidRPr="00371AA5">
        <w:rPr>
          <w:rFonts w:cs="Arial"/>
          <w:sz w:val="22"/>
          <w:szCs w:val="22"/>
          <w:lang w:val="pt-BR" w:eastAsia="x-none"/>
        </w:rPr>
        <w:tab/>
        <w:t>Os contratos financeiros para um ativo qualificável podem resultar em a entidade obter recursos de empréstimos e incorrer em custos de empréstimos associados antes que parte ou todos os recursos sejam utilizados para gastos com o ativo qualificável. Nessas circunstâncias, os recursos são frequentemente investidos até que se incorra em gastos com o ativo qualificável. Na determinação do montante de custos de empréstimos elegíveis à capitalização durante o período, quaisquer receitas financeiras ganhas sobre tais recursos devem ser deduzidas dos custos dos empréstimos incorridos.</w:t>
      </w:r>
    </w:p>
    <w:p w14:paraId="1E2AF35B" w14:textId="77777777" w:rsidR="00371AA5" w:rsidRPr="00371AA5" w:rsidRDefault="00371AA5" w:rsidP="00371AA5">
      <w:pPr>
        <w:widowControl w:val="0"/>
        <w:tabs>
          <w:tab w:val="left" w:pos="6804"/>
        </w:tabs>
        <w:spacing w:before="0" w:after="0"/>
        <w:rPr>
          <w:rFonts w:cs="Arial"/>
          <w:sz w:val="22"/>
          <w:szCs w:val="22"/>
          <w:lang w:val="pt-BR" w:eastAsia="x-none"/>
        </w:rPr>
      </w:pPr>
    </w:p>
    <w:p w14:paraId="22BE0309" w14:textId="5AD7C341" w:rsidR="00371AA5" w:rsidRPr="00371AA5" w:rsidRDefault="00371AA5" w:rsidP="00371AA5">
      <w:pPr>
        <w:spacing w:before="0" w:after="0"/>
        <w:ind w:left="567" w:hanging="567"/>
        <w:rPr>
          <w:rFonts w:cs="Arial"/>
          <w:sz w:val="22"/>
          <w:szCs w:val="22"/>
        </w:rPr>
      </w:pPr>
      <w:r w:rsidRPr="00371AA5">
        <w:rPr>
          <w:rFonts w:cs="Arial"/>
          <w:sz w:val="22"/>
          <w:szCs w:val="22"/>
        </w:rPr>
        <w:t xml:space="preserve">14. </w:t>
      </w:r>
      <w:r w:rsidRPr="00371AA5">
        <w:rPr>
          <w:rFonts w:cs="Arial"/>
          <w:sz w:val="22"/>
          <w:szCs w:val="22"/>
        </w:rPr>
        <w:tab/>
        <w:t>À medida que a entidade toma recursos emprestados sem destinação específica e os utiliza com o propósito de obter ativo qualificável, a entidade deve determinar o montante dos custos dos empréstimos elegíveis à capitalização, aplicando uma taxa de capitalização aos gastos com o ativo. A taxa de capitalização deve ser a média ponderada dos custos dos empréstimos aplicáveis a todos os empréstimos da entidade que estiveram vigentes durante o período. No entanto, a entidade deve excluir desse cálculo os custos de empréstimos aplicáveis aos empréstimos feitos especificamente com o propósito de obter um ativo qualificável até que todas as atividades necessárias para preparar esse ativo para uso ou venda pretendidos estejam completas. O montante dos custos de empréstimos, que a entidade capitalizar durante o período, não deve exceder o montante dos custos de empréstimos incorridos durante esse período.</w:t>
      </w:r>
    </w:p>
    <w:p w14:paraId="6E872EC2" w14:textId="77777777" w:rsidR="00371AA5" w:rsidRPr="00371AA5" w:rsidRDefault="00371AA5" w:rsidP="00371AA5">
      <w:pPr>
        <w:widowControl w:val="0"/>
        <w:tabs>
          <w:tab w:val="left" w:pos="6804"/>
        </w:tabs>
        <w:spacing w:before="0" w:after="0"/>
        <w:rPr>
          <w:rFonts w:cs="Arial"/>
          <w:sz w:val="22"/>
          <w:szCs w:val="22"/>
          <w:lang w:val="pt-BR" w:eastAsia="x-none"/>
        </w:rPr>
      </w:pPr>
    </w:p>
    <w:p w14:paraId="5319B50C" w14:textId="77777777" w:rsidR="00371AA5" w:rsidRPr="00371AA5" w:rsidRDefault="00371AA5" w:rsidP="00371AA5">
      <w:pPr>
        <w:widowControl w:val="0"/>
        <w:tabs>
          <w:tab w:val="left" w:pos="6804"/>
        </w:tabs>
        <w:spacing w:before="0" w:after="0"/>
        <w:ind w:left="567" w:hanging="567"/>
        <w:rPr>
          <w:rFonts w:cs="Arial"/>
          <w:sz w:val="22"/>
          <w:szCs w:val="22"/>
          <w:lang w:val="pt-BR" w:eastAsia="x-none"/>
        </w:rPr>
      </w:pPr>
      <w:r w:rsidRPr="00371AA5">
        <w:rPr>
          <w:rFonts w:cs="Arial"/>
          <w:sz w:val="22"/>
          <w:szCs w:val="22"/>
          <w:lang w:val="pt-BR" w:eastAsia="x-none"/>
        </w:rPr>
        <w:t xml:space="preserve">15. </w:t>
      </w:r>
      <w:r w:rsidRPr="00371AA5">
        <w:rPr>
          <w:rFonts w:cs="Arial"/>
          <w:sz w:val="22"/>
          <w:szCs w:val="22"/>
          <w:lang w:val="pt-BR" w:eastAsia="x-none"/>
        </w:rPr>
        <w:tab/>
        <w:t xml:space="preserve">Em algumas circunstâncias, pode ser apropriado incluir todos os empréstimos da controladora e de suas subsidiárias quando do cálculo da média ponderada dos custos dos empréstimos; em outras </w:t>
      </w:r>
      <w:r w:rsidRPr="00371AA5">
        <w:rPr>
          <w:rFonts w:cs="Arial"/>
          <w:sz w:val="22"/>
          <w:szCs w:val="22"/>
          <w:lang w:val="pt-BR" w:eastAsia="x-none"/>
        </w:rPr>
        <w:lastRenderedPageBreak/>
        <w:t>circunstâncias, é apropriado para cada subsidiária utilizar a média ponderada dos custos dos empréstimos aplicável aos seus próprios empréstimos.</w:t>
      </w:r>
    </w:p>
    <w:p w14:paraId="1C436ED8" w14:textId="77777777" w:rsidR="00371AA5" w:rsidRPr="00371AA5" w:rsidRDefault="00371AA5" w:rsidP="00371AA5">
      <w:pPr>
        <w:spacing w:before="0" w:after="0"/>
        <w:rPr>
          <w:rFonts w:cs="Arial"/>
          <w:b/>
          <w:sz w:val="22"/>
          <w:szCs w:val="22"/>
          <w:lang w:val="pt-BR"/>
        </w:rPr>
      </w:pPr>
    </w:p>
    <w:p w14:paraId="62001402" w14:textId="77777777" w:rsidR="00371AA5" w:rsidRPr="00371AA5" w:rsidRDefault="00371AA5" w:rsidP="00371AA5">
      <w:pPr>
        <w:spacing w:before="0" w:after="0"/>
        <w:rPr>
          <w:rFonts w:cs="Arial"/>
          <w:b/>
          <w:sz w:val="22"/>
          <w:szCs w:val="22"/>
          <w:lang w:val="pt-BR"/>
        </w:rPr>
      </w:pPr>
      <w:r w:rsidRPr="00371AA5">
        <w:rPr>
          <w:rFonts w:cs="Arial"/>
          <w:b/>
          <w:sz w:val="22"/>
          <w:szCs w:val="22"/>
          <w:lang w:val="pt-BR"/>
        </w:rPr>
        <w:t>Excesso do valor contábil do ativo qualificável sobre o montante recuperável</w:t>
      </w:r>
    </w:p>
    <w:p w14:paraId="380C6BC4" w14:textId="77777777" w:rsidR="00371AA5" w:rsidRPr="00371AA5" w:rsidRDefault="00371AA5" w:rsidP="00371AA5">
      <w:pPr>
        <w:spacing w:before="0" w:after="0"/>
        <w:rPr>
          <w:rFonts w:cs="Arial"/>
          <w:b/>
          <w:sz w:val="22"/>
          <w:szCs w:val="22"/>
          <w:lang w:val="pt-BR"/>
        </w:rPr>
      </w:pPr>
    </w:p>
    <w:p w14:paraId="4F8F0C47" w14:textId="77777777" w:rsidR="00371AA5" w:rsidRPr="00371AA5" w:rsidRDefault="00371AA5" w:rsidP="00371AA5">
      <w:pPr>
        <w:widowControl w:val="0"/>
        <w:tabs>
          <w:tab w:val="left" w:pos="6804"/>
        </w:tabs>
        <w:spacing w:before="0" w:after="0"/>
        <w:ind w:left="567" w:hanging="567"/>
        <w:rPr>
          <w:rFonts w:cs="Arial"/>
          <w:sz w:val="22"/>
          <w:szCs w:val="22"/>
          <w:lang w:val="pt-BR" w:eastAsia="x-none"/>
        </w:rPr>
      </w:pPr>
      <w:r w:rsidRPr="00371AA5">
        <w:rPr>
          <w:rFonts w:cs="Arial"/>
          <w:sz w:val="22"/>
          <w:szCs w:val="22"/>
          <w:lang w:val="pt-BR" w:eastAsia="x-none"/>
        </w:rPr>
        <w:t xml:space="preserve">16. </w:t>
      </w:r>
      <w:r w:rsidRPr="00371AA5">
        <w:rPr>
          <w:rFonts w:cs="Arial"/>
          <w:sz w:val="22"/>
          <w:szCs w:val="22"/>
          <w:lang w:val="pt-BR" w:eastAsia="x-none"/>
        </w:rPr>
        <w:tab/>
        <w:t>Quando o valor contábil ou o custo final esperado do ativo qualificável exceder seu montante recuperável ou valor líquido de realização, o valor contábil deve ser baixado de acordo com os requerimentos de outros Pronunciamentos do CPC. Em certas circunstâncias, o montante da baixa pode ser revertido de acordo com outros Pronunciamentos do CPC.</w:t>
      </w:r>
    </w:p>
    <w:p w14:paraId="3DD6E3F9" w14:textId="77777777" w:rsidR="00371AA5" w:rsidRPr="00371AA5" w:rsidRDefault="00371AA5" w:rsidP="00371AA5">
      <w:pPr>
        <w:spacing w:before="0" w:after="0"/>
        <w:rPr>
          <w:rFonts w:cs="Arial"/>
          <w:b/>
          <w:sz w:val="22"/>
          <w:szCs w:val="22"/>
          <w:lang w:val="pt-BR"/>
        </w:rPr>
      </w:pPr>
    </w:p>
    <w:p w14:paraId="77F49BAC" w14:textId="77777777" w:rsidR="00371AA5" w:rsidRPr="00371AA5" w:rsidRDefault="00371AA5" w:rsidP="00371AA5">
      <w:pPr>
        <w:spacing w:before="0" w:after="0"/>
        <w:rPr>
          <w:rFonts w:cs="Arial"/>
          <w:b/>
          <w:sz w:val="22"/>
          <w:szCs w:val="22"/>
          <w:lang w:val="pt-BR"/>
        </w:rPr>
      </w:pPr>
      <w:r w:rsidRPr="00371AA5">
        <w:rPr>
          <w:rFonts w:cs="Arial"/>
          <w:b/>
          <w:sz w:val="22"/>
          <w:szCs w:val="22"/>
          <w:lang w:val="pt-BR"/>
        </w:rPr>
        <w:t>Início da capitalização</w:t>
      </w:r>
    </w:p>
    <w:p w14:paraId="7E051BFA" w14:textId="77777777" w:rsidR="00371AA5" w:rsidRPr="00371AA5" w:rsidRDefault="00371AA5" w:rsidP="00371AA5">
      <w:pPr>
        <w:spacing w:before="0" w:after="0"/>
        <w:rPr>
          <w:rFonts w:cs="Arial"/>
          <w:b/>
          <w:sz w:val="22"/>
          <w:szCs w:val="22"/>
          <w:lang w:val="pt-BR"/>
        </w:rPr>
      </w:pPr>
    </w:p>
    <w:p w14:paraId="250F47D3" w14:textId="77777777" w:rsidR="00371AA5" w:rsidRPr="00371AA5" w:rsidRDefault="00371AA5" w:rsidP="00371AA5">
      <w:pPr>
        <w:widowControl w:val="0"/>
        <w:tabs>
          <w:tab w:val="left" w:pos="6804"/>
        </w:tabs>
        <w:spacing w:before="0" w:after="0"/>
        <w:ind w:left="567" w:hanging="567"/>
        <w:rPr>
          <w:rFonts w:cs="Arial"/>
          <w:sz w:val="22"/>
          <w:szCs w:val="22"/>
          <w:lang w:val="pt-BR" w:eastAsia="x-none"/>
        </w:rPr>
      </w:pPr>
      <w:r w:rsidRPr="00371AA5">
        <w:rPr>
          <w:rFonts w:cs="Arial"/>
          <w:sz w:val="22"/>
          <w:szCs w:val="22"/>
          <w:lang w:val="pt-BR" w:eastAsia="x-none"/>
        </w:rPr>
        <w:t xml:space="preserve">17. </w:t>
      </w:r>
      <w:r w:rsidRPr="00371AA5">
        <w:rPr>
          <w:rFonts w:cs="Arial"/>
          <w:sz w:val="22"/>
          <w:szCs w:val="22"/>
          <w:lang w:val="pt-BR" w:eastAsia="x-none"/>
        </w:rPr>
        <w:tab/>
        <w:t>A entidade deve iniciar a capitalização dos custos de empréstimos como parte do custo de um ativo qualificável na data de início. A data de início para a capitalização é a primeira data em que a entidade satisfaz todas as seguintes condições:</w:t>
      </w:r>
    </w:p>
    <w:p w14:paraId="564322D2" w14:textId="77777777" w:rsidR="00371AA5" w:rsidRPr="00371AA5" w:rsidRDefault="00371AA5" w:rsidP="00371AA5">
      <w:pPr>
        <w:widowControl w:val="0"/>
        <w:numPr>
          <w:ilvl w:val="0"/>
          <w:numId w:val="16"/>
        </w:numPr>
        <w:spacing w:before="0" w:after="0"/>
        <w:ind w:left="993" w:hanging="426"/>
        <w:rPr>
          <w:rFonts w:cs="Arial"/>
          <w:bCs/>
          <w:iCs/>
          <w:color w:val="000000"/>
          <w:sz w:val="22"/>
          <w:szCs w:val="22"/>
          <w:lang w:val="pt-BR"/>
        </w:rPr>
      </w:pPr>
      <w:r w:rsidRPr="00371AA5">
        <w:rPr>
          <w:rFonts w:cs="Arial"/>
          <w:bCs/>
          <w:iCs/>
          <w:color w:val="000000"/>
          <w:sz w:val="22"/>
          <w:szCs w:val="22"/>
          <w:lang w:val="pt-BR"/>
        </w:rPr>
        <w:t>incorre em gastos com o ativo;</w:t>
      </w:r>
    </w:p>
    <w:p w14:paraId="689BC2D4" w14:textId="77777777" w:rsidR="00371AA5" w:rsidRPr="00371AA5" w:rsidRDefault="00371AA5" w:rsidP="00371AA5">
      <w:pPr>
        <w:widowControl w:val="0"/>
        <w:numPr>
          <w:ilvl w:val="0"/>
          <w:numId w:val="16"/>
        </w:numPr>
        <w:spacing w:before="0" w:after="0"/>
        <w:ind w:left="993" w:hanging="426"/>
        <w:rPr>
          <w:rFonts w:cs="Arial"/>
          <w:bCs/>
          <w:iCs/>
          <w:color w:val="000000"/>
          <w:sz w:val="22"/>
          <w:szCs w:val="22"/>
          <w:lang w:val="pt-BR"/>
        </w:rPr>
      </w:pPr>
      <w:r w:rsidRPr="00371AA5">
        <w:rPr>
          <w:rFonts w:cs="Arial"/>
          <w:bCs/>
          <w:iCs/>
          <w:color w:val="000000"/>
          <w:sz w:val="22"/>
          <w:szCs w:val="22"/>
          <w:lang w:val="pt-BR"/>
        </w:rPr>
        <w:t>incorre em custos de empréstimos; e</w:t>
      </w:r>
    </w:p>
    <w:p w14:paraId="3A8E387A" w14:textId="77777777" w:rsidR="00371AA5" w:rsidRPr="00371AA5" w:rsidRDefault="00371AA5" w:rsidP="00371AA5">
      <w:pPr>
        <w:widowControl w:val="0"/>
        <w:numPr>
          <w:ilvl w:val="0"/>
          <w:numId w:val="16"/>
        </w:numPr>
        <w:spacing w:before="0" w:after="0"/>
        <w:ind w:left="993" w:hanging="426"/>
        <w:rPr>
          <w:rFonts w:cs="Arial"/>
          <w:bCs/>
          <w:iCs/>
          <w:color w:val="000000"/>
          <w:sz w:val="22"/>
          <w:szCs w:val="22"/>
          <w:lang w:val="pt-BR"/>
        </w:rPr>
      </w:pPr>
      <w:r w:rsidRPr="00371AA5">
        <w:rPr>
          <w:rFonts w:cs="Arial"/>
          <w:bCs/>
          <w:iCs/>
          <w:color w:val="000000"/>
          <w:sz w:val="22"/>
          <w:szCs w:val="22"/>
          <w:lang w:val="pt-BR"/>
        </w:rPr>
        <w:t>inicia as atividades que são necessárias ao preparo do ativo para seu uso ou venda pretendidos.</w:t>
      </w:r>
    </w:p>
    <w:p w14:paraId="7D1964A7" w14:textId="77777777" w:rsidR="00371AA5" w:rsidRPr="00371AA5" w:rsidRDefault="00371AA5" w:rsidP="00371AA5">
      <w:pPr>
        <w:widowControl w:val="0"/>
        <w:tabs>
          <w:tab w:val="left" w:pos="6804"/>
        </w:tabs>
        <w:spacing w:before="0" w:after="0"/>
        <w:rPr>
          <w:rFonts w:cs="Arial"/>
          <w:sz w:val="22"/>
          <w:szCs w:val="22"/>
          <w:lang w:val="pt-BR" w:eastAsia="x-none"/>
        </w:rPr>
      </w:pPr>
    </w:p>
    <w:p w14:paraId="52374DAF" w14:textId="77777777" w:rsidR="00371AA5" w:rsidRPr="00371AA5" w:rsidRDefault="00371AA5" w:rsidP="00371AA5">
      <w:pPr>
        <w:widowControl w:val="0"/>
        <w:tabs>
          <w:tab w:val="left" w:pos="6804"/>
        </w:tabs>
        <w:spacing w:before="0" w:after="0"/>
        <w:ind w:left="567" w:hanging="567"/>
        <w:rPr>
          <w:rFonts w:cs="Arial"/>
          <w:sz w:val="22"/>
          <w:szCs w:val="22"/>
          <w:lang w:val="pt-BR" w:eastAsia="x-none"/>
        </w:rPr>
      </w:pPr>
      <w:r w:rsidRPr="00371AA5">
        <w:rPr>
          <w:rFonts w:cs="Arial"/>
          <w:sz w:val="22"/>
          <w:szCs w:val="22"/>
          <w:lang w:val="pt-BR" w:eastAsia="x-none"/>
        </w:rPr>
        <w:t xml:space="preserve">18. </w:t>
      </w:r>
      <w:r w:rsidRPr="00371AA5">
        <w:rPr>
          <w:rFonts w:cs="Arial"/>
          <w:sz w:val="22"/>
          <w:szCs w:val="22"/>
          <w:lang w:val="pt-BR" w:eastAsia="x-none"/>
        </w:rPr>
        <w:tab/>
        <w:t>Gastos com o ativo qualificável incluem somente aqueles gastos que resultam em pagamento em caixa, transferências de outros ativos ou assunção de passivos onerosos. Gastos são reduzidos por meio de qualquer recebimento intermediário e subvenção recebida relacionada ao ativo (ver o Pronunciamento Técnico CPC 07 - Subvenção e Assistência Governamentais). O saldo contábil médio do ativo durante um período, incluindo os custos de empréstimos anteriormente capitalizados, constitui normalmente uma aproximação razoável dos gastos sobre os quais a taxa de capitalização deve ser aplicada nesse período.</w:t>
      </w:r>
    </w:p>
    <w:p w14:paraId="2EAC0585" w14:textId="77777777" w:rsidR="00371AA5" w:rsidRPr="00371AA5" w:rsidRDefault="00371AA5" w:rsidP="00371AA5">
      <w:pPr>
        <w:widowControl w:val="0"/>
        <w:tabs>
          <w:tab w:val="left" w:pos="6804"/>
        </w:tabs>
        <w:spacing w:before="0" w:after="0"/>
        <w:rPr>
          <w:rFonts w:cs="Arial"/>
          <w:sz w:val="22"/>
          <w:szCs w:val="22"/>
          <w:lang w:val="pt-BR" w:eastAsia="x-none"/>
        </w:rPr>
      </w:pPr>
    </w:p>
    <w:p w14:paraId="185C9C15" w14:textId="77777777" w:rsidR="00371AA5" w:rsidRPr="00371AA5" w:rsidRDefault="00371AA5" w:rsidP="00371AA5">
      <w:pPr>
        <w:widowControl w:val="0"/>
        <w:tabs>
          <w:tab w:val="left" w:pos="6804"/>
        </w:tabs>
        <w:spacing w:before="0" w:after="0"/>
        <w:ind w:left="567" w:hanging="567"/>
        <w:rPr>
          <w:rFonts w:cs="Arial"/>
          <w:sz w:val="22"/>
          <w:szCs w:val="22"/>
          <w:lang w:val="pt-BR" w:eastAsia="x-none"/>
        </w:rPr>
      </w:pPr>
      <w:r w:rsidRPr="00371AA5">
        <w:rPr>
          <w:rFonts w:cs="Arial"/>
          <w:sz w:val="22"/>
          <w:szCs w:val="22"/>
          <w:lang w:val="pt-BR" w:eastAsia="x-none"/>
        </w:rPr>
        <w:t xml:space="preserve">19. </w:t>
      </w:r>
      <w:r w:rsidRPr="00371AA5">
        <w:rPr>
          <w:rFonts w:cs="Arial"/>
          <w:sz w:val="22"/>
          <w:szCs w:val="22"/>
          <w:lang w:val="pt-BR" w:eastAsia="x-none"/>
        </w:rPr>
        <w:tab/>
        <w:t>As atividades necessárias ao preparo do ativo para seu uso ou venda pretendidos abrangem mais do que a construção física do ativo. Elas incluem trabalho técnico e administrativo anterior ao início da construção física, tais como atividades associadas à obtenção de permissões para o início da construção física. Entretanto, tais atividades excluem a de manter um ativo quando nenhuma produção ou nenhum desenvolvimento que altere as condições do ativo estiverem sendo efetuados. Por exemplo, custos de empréstimos incorridos enquanto um terreno está em preparação devem ser capitalizados durante o período em que tais atividades relacionadas ao desenvolvimento estiverem sendo executadas. Entretanto, custos de empréstimos incorridos enquanto o terreno adquirido para fins de construção for mantido sem nenhuma atividade de preparação associada não se qualificam para capitalização.</w:t>
      </w:r>
    </w:p>
    <w:p w14:paraId="33DC8029" w14:textId="77777777" w:rsidR="00371AA5" w:rsidRPr="00371AA5" w:rsidRDefault="00371AA5" w:rsidP="00371AA5">
      <w:pPr>
        <w:spacing w:before="0" w:after="0"/>
        <w:rPr>
          <w:rFonts w:cs="Arial"/>
          <w:b/>
          <w:sz w:val="22"/>
          <w:szCs w:val="22"/>
          <w:lang w:val="pt-BR"/>
        </w:rPr>
      </w:pPr>
    </w:p>
    <w:p w14:paraId="2D2D7704" w14:textId="77777777" w:rsidR="00371AA5" w:rsidRPr="00371AA5" w:rsidRDefault="00371AA5" w:rsidP="00371AA5">
      <w:pPr>
        <w:spacing w:before="0" w:after="0"/>
        <w:rPr>
          <w:rFonts w:cs="Arial"/>
          <w:b/>
          <w:sz w:val="22"/>
          <w:szCs w:val="22"/>
          <w:lang w:val="pt-BR"/>
        </w:rPr>
      </w:pPr>
      <w:r w:rsidRPr="00371AA5">
        <w:rPr>
          <w:rFonts w:cs="Arial"/>
          <w:b/>
          <w:sz w:val="22"/>
          <w:szCs w:val="22"/>
          <w:lang w:val="pt-BR"/>
        </w:rPr>
        <w:t>Suspensão da capitalização</w:t>
      </w:r>
    </w:p>
    <w:p w14:paraId="443BB14A" w14:textId="77777777" w:rsidR="00371AA5" w:rsidRPr="00371AA5" w:rsidRDefault="00371AA5" w:rsidP="00371AA5">
      <w:pPr>
        <w:spacing w:before="0" w:after="0"/>
        <w:rPr>
          <w:rFonts w:cs="Arial"/>
          <w:b/>
          <w:sz w:val="22"/>
          <w:szCs w:val="22"/>
          <w:lang w:val="pt-BR"/>
        </w:rPr>
      </w:pPr>
    </w:p>
    <w:p w14:paraId="410D3FBF" w14:textId="77777777" w:rsidR="00371AA5" w:rsidRPr="00371AA5" w:rsidRDefault="00371AA5" w:rsidP="00371AA5">
      <w:pPr>
        <w:widowControl w:val="0"/>
        <w:tabs>
          <w:tab w:val="left" w:pos="6804"/>
        </w:tabs>
        <w:spacing w:before="0" w:after="0"/>
        <w:ind w:left="567" w:hanging="567"/>
        <w:rPr>
          <w:rFonts w:cs="Arial"/>
          <w:sz w:val="22"/>
          <w:szCs w:val="22"/>
          <w:lang w:val="pt-BR" w:eastAsia="x-none"/>
        </w:rPr>
      </w:pPr>
      <w:r w:rsidRPr="00371AA5">
        <w:rPr>
          <w:rFonts w:cs="Arial"/>
          <w:sz w:val="22"/>
          <w:szCs w:val="22"/>
          <w:lang w:val="pt-BR" w:eastAsia="x-none"/>
        </w:rPr>
        <w:t xml:space="preserve">20. </w:t>
      </w:r>
      <w:r w:rsidRPr="00371AA5">
        <w:rPr>
          <w:rFonts w:cs="Arial"/>
          <w:sz w:val="22"/>
          <w:szCs w:val="22"/>
          <w:lang w:val="pt-BR" w:eastAsia="x-none"/>
        </w:rPr>
        <w:tab/>
        <w:t>A entidade deve suspender a capitalização dos custos de empréstimos durante períodos extensos em que suspender as atividades de desenvolvimento de um ativo qualificável.</w:t>
      </w:r>
    </w:p>
    <w:p w14:paraId="34535063" w14:textId="77777777" w:rsidR="00371AA5" w:rsidRPr="00371AA5" w:rsidRDefault="00371AA5" w:rsidP="00371AA5">
      <w:pPr>
        <w:widowControl w:val="0"/>
        <w:tabs>
          <w:tab w:val="left" w:pos="6804"/>
        </w:tabs>
        <w:spacing w:before="0" w:after="0"/>
        <w:rPr>
          <w:rFonts w:cs="Arial"/>
          <w:sz w:val="22"/>
          <w:szCs w:val="22"/>
          <w:lang w:val="pt-BR" w:eastAsia="x-none"/>
        </w:rPr>
      </w:pPr>
    </w:p>
    <w:p w14:paraId="7B3FC32C" w14:textId="77777777" w:rsidR="00371AA5" w:rsidRPr="00371AA5" w:rsidRDefault="00371AA5" w:rsidP="00371AA5">
      <w:pPr>
        <w:widowControl w:val="0"/>
        <w:tabs>
          <w:tab w:val="left" w:pos="6804"/>
        </w:tabs>
        <w:spacing w:before="0" w:after="0"/>
        <w:ind w:left="567" w:hanging="567"/>
        <w:rPr>
          <w:rFonts w:cs="Arial"/>
          <w:sz w:val="22"/>
          <w:szCs w:val="22"/>
          <w:lang w:val="pt-BR" w:eastAsia="x-none"/>
        </w:rPr>
      </w:pPr>
      <w:r w:rsidRPr="00371AA5">
        <w:rPr>
          <w:rFonts w:cs="Arial"/>
          <w:sz w:val="22"/>
          <w:szCs w:val="22"/>
          <w:lang w:val="pt-BR" w:eastAsia="x-none"/>
        </w:rPr>
        <w:t xml:space="preserve">21. </w:t>
      </w:r>
      <w:r w:rsidRPr="00371AA5">
        <w:rPr>
          <w:rFonts w:cs="Arial"/>
          <w:sz w:val="22"/>
          <w:szCs w:val="22"/>
          <w:lang w:val="pt-BR" w:eastAsia="x-none"/>
        </w:rPr>
        <w:tab/>
        <w:t xml:space="preserve">A entidade pode incorrer em custos de empréstimos durante um período extenso em que as atividades necessárias ao preparo do ativo para seu uso ou venda pretendidos estão suspensas. Tais custos são custos de se manter os ativos parcialmente concluídos e não se qualificam para </w:t>
      </w:r>
      <w:r w:rsidRPr="00371AA5">
        <w:rPr>
          <w:rFonts w:cs="Arial"/>
          <w:sz w:val="22"/>
          <w:szCs w:val="22"/>
          <w:lang w:val="pt-BR" w:eastAsia="x-none"/>
        </w:rPr>
        <w:lastRenderedPageBreak/>
        <w:t>capitalização. Entretanto, a entidade normalmente não suspende a capitalização dos custos de empréstimos durante um período em que substancial trabalho técnico e administrativo está sendo executado. A entidade também não deve suspender a capitalização de custos de empréstimos quando um atraso temporário é parte necessária do processo de concluir o ativo para seu uso ou venda pretendidos. Por exemplo, a capitalização deve continuar ao longo do período em que o nível elevado das águas atrasar a construção de uma ponte, se tal nível elevado das águas for comum durante o período de construção na região geográfica envolvida.</w:t>
      </w:r>
    </w:p>
    <w:p w14:paraId="582F6DB0" w14:textId="77777777" w:rsidR="00371AA5" w:rsidRPr="00371AA5" w:rsidRDefault="00371AA5" w:rsidP="00371AA5">
      <w:pPr>
        <w:spacing w:before="0" w:after="0"/>
        <w:rPr>
          <w:rFonts w:cs="Arial"/>
          <w:b/>
          <w:sz w:val="22"/>
          <w:szCs w:val="22"/>
          <w:lang w:val="pt-BR"/>
        </w:rPr>
      </w:pPr>
    </w:p>
    <w:p w14:paraId="2E8FD8C6" w14:textId="77777777" w:rsidR="00371AA5" w:rsidRPr="00371AA5" w:rsidRDefault="00371AA5" w:rsidP="00371AA5">
      <w:pPr>
        <w:spacing w:before="0" w:after="0"/>
        <w:rPr>
          <w:rFonts w:cs="Arial"/>
          <w:b/>
          <w:sz w:val="22"/>
          <w:szCs w:val="22"/>
          <w:lang w:val="pt-BR"/>
        </w:rPr>
      </w:pPr>
      <w:r w:rsidRPr="00371AA5">
        <w:rPr>
          <w:rFonts w:cs="Arial"/>
          <w:b/>
          <w:sz w:val="22"/>
          <w:szCs w:val="22"/>
          <w:lang w:val="pt-BR"/>
        </w:rPr>
        <w:t>Cessação da capitalização</w:t>
      </w:r>
    </w:p>
    <w:p w14:paraId="5F7BE39E" w14:textId="77777777" w:rsidR="00371AA5" w:rsidRPr="00371AA5" w:rsidRDefault="00371AA5" w:rsidP="00371AA5">
      <w:pPr>
        <w:spacing w:before="0" w:after="0"/>
        <w:rPr>
          <w:rFonts w:cs="Arial"/>
          <w:b/>
          <w:sz w:val="22"/>
          <w:szCs w:val="22"/>
          <w:lang w:val="pt-BR"/>
        </w:rPr>
      </w:pPr>
    </w:p>
    <w:p w14:paraId="2ED80D60" w14:textId="77777777" w:rsidR="00371AA5" w:rsidRPr="00371AA5" w:rsidRDefault="00371AA5" w:rsidP="00371AA5">
      <w:pPr>
        <w:widowControl w:val="0"/>
        <w:tabs>
          <w:tab w:val="left" w:pos="6804"/>
        </w:tabs>
        <w:spacing w:before="0" w:after="0"/>
        <w:ind w:left="567" w:hanging="567"/>
        <w:rPr>
          <w:rFonts w:cs="Arial"/>
          <w:sz w:val="22"/>
          <w:szCs w:val="22"/>
          <w:lang w:val="pt-BR" w:eastAsia="x-none"/>
        </w:rPr>
      </w:pPr>
      <w:r w:rsidRPr="00371AA5">
        <w:rPr>
          <w:rFonts w:cs="Arial"/>
          <w:sz w:val="22"/>
          <w:szCs w:val="22"/>
          <w:lang w:val="pt-BR" w:eastAsia="x-none"/>
        </w:rPr>
        <w:t xml:space="preserve">22. </w:t>
      </w:r>
      <w:r w:rsidRPr="00371AA5">
        <w:rPr>
          <w:rFonts w:cs="Arial"/>
          <w:sz w:val="22"/>
          <w:szCs w:val="22"/>
          <w:lang w:val="pt-BR" w:eastAsia="x-none"/>
        </w:rPr>
        <w:tab/>
        <w:t>A entidade deve cessar a capitalização dos custos de empréstimos quando substancialmente todas as atividades necessárias ao preparo do ativo qualificável para seu uso ou venda pretendidos estiverem concluídas.</w:t>
      </w:r>
    </w:p>
    <w:p w14:paraId="3185E1B6" w14:textId="77777777" w:rsidR="00371AA5" w:rsidRPr="00371AA5" w:rsidRDefault="00371AA5" w:rsidP="00371AA5">
      <w:pPr>
        <w:widowControl w:val="0"/>
        <w:tabs>
          <w:tab w:val="left" w:pos="6804"/>
        </w:tabs>
        <w:spacing w:before="0" w:after="0"/>
        <w:rPr>
          <w:rFonts w:cs="Arial"/>
          <w:sz w:val="22"/>
          <w:szCs w:val="22"/>
          <w:lang w:val="pt-BR" w:eastAsia="x-none"/>
        </w:rPr>
      </w:pPr>
    </w:p>
    <w:p w14:paraId="7830C1AE" w14:textId="77777777" w:rsidR="00371AA5" w:rsidRPr="00371AA5" w:rsidRDefault="00371AA5" w:rsidP="00371AA5">
      <w:pPr>
        <w:widowControl w:val="0"/>
        <w:tabs>
          <w:tab w:val="left" w:pos="6804"/>
        </w:tabs>
        <w:spacing w:before="0" w:after="0"/>
        <w:ind w:left="567" w:hanging="567"/>
        <w:rPr>
          <w:rFonts w:cs="Arial"/>
          <w:sz w:val="22"/>
          <w:szCs w:val="22"/>
          <w:lang w:val="pt-BR" w:eastAsia="x-none"/>
        </w:rPr>
      </w:pPr>
      <w:r w:rsidRPr="00371AA5">
        <w:rPr>
          <w:rFonts w:cs="Arial"/>
          <w:sz w:val="22"/>
          <w:szCs w:val="22"/>
          <w:lang w:val="pt-BR" w:eastAsia="x-none"/>
        </w:rPr>
        <w:t xml:space="preserve">23. </w:t>
      </w:r>
      <w:r w:rsidRPr="00371AA5">
        <w:rPr>
          <w:rFonts w:cs="Arial"/>
          <w:sz w:val="22"/>
          <w:szCs w:val="22"/>
          <w:lang w:val="pt-BR" w:eastAsia="x-none"/>
        </w:rPr>
        <w:tab/>
        <w:t>Um ativo normalmente está pronto para seu uso ou venda pretendidos quando a construção física do ativo estiver finalizada, mesmo que trabalho administrativo de rotina possa ainda continuar. Se modificações menores, tal como a decoração da propriedade sob especificações do comprador ou do usuário, resumirem-se a tudo o que está faltando, isso é indicador de que substancialmente todas as atividades estão completas.</w:t>
      </w:r>
    </w:p>
    <w:p w14:paraId="018323C1" w14:textId="77777777" w:rsidR="00371AA5" w:rsidRPr="00371AA5" w:rsidRDefault="00371AA5" w:rsidP="00371AA5">
      <w:pPr>
        <w:widowControl w:val="0"/>
        <w:tabs>
          <w:tab w:val="left" w:pos="6804"/>
        </w:tabs>
        <w:spacing w:before="0" w:after="0"/>
        <w:rPr>
          <w:rFonts w:cs="Arial"/>
          <w:sz w:val="22"/>
          <w:szCs w:val="22"/>
          <w:lang w:val="pt-BR" w:eastAsia="x-none"/>
        </w:rPr>
      </w:pPr>
    </w:p>
    <w:p w14:paraId="1EFF5A30" w14:textId="77777777" w:rsidR="00371AA5" w:rsidRPr="00371AA5" w:rsidRDefault="00371AA5" w:rsidP="00371AA5">
      <w:pPr>
        <w:widowControl w:val="0"/>
        <w:tabs>
          <w:tab w:val="left" w:pos="6804"/>
        </w:tabs>
        <w:spacing w:before="0" w:after="0"/>
        <w:ind w:left="567" w:hanging="567"/>
        <w:rPr>
          <w:rFonts w:cs="Arial"/>
          <w:sz w:val="22"/>
          <w:szCs w:val="22"/>
          <w:lang w:val="pt-BR" w:eastAsia="x-none"/>
        </w:rPr>
      </w:pPr>
      <w:r w:rsidRPr="00371AA5">
        <w:rPr>
          <w:rFonts w:cs="Arial"/>
          <w:sz w:val="22"/>
          <w:szCs w:val="22"/>
          <w:lang w:val="pt-BR" w:eastAsia="x-none"/>
        </w:rPr>
        <w:t xml:space="preserve">24. </w:t>
      </w:r>
      <w:r w:rsidRPr="00371AA5">
        <w:rPr>
          <w:rFonts w:cs="Arial"/>
          <w:sz w:val="22"/>
          <w:szCs w:val="22"/>
          <w:lang w:val="pt-BR" w:eastAsia="x-none"/>
        </w:rPr>
        <w:tab/>
        <w:t>Quando a entidade completa a construção de um ativo qualificável em partes e cada parte pode ser utilizada enquanto a construção de outras partes continua, a entidade deve cessar a capitalização dos custos de empréstimos quando completar substancialmente todas as atividades necessárias ao preparo dessa parte para seu uso ou venda pretendidos.</w:t>
      </w:r>
    </w:p>
    <w:p w14:paraId="4533AA52" w14:textId="77777777" w:rsidR="00371AA5" w:rsidRPr="00371AA5" w:rsidRDefault="00371AA5" w:rsidP="00371AA5">
      <w:pPr>
        <w:widowControl w:val="0"/>
        <w:tabs>
          <w:tab w:val="left" w:pos="6804"/>
        </w:tabs>
        <w:spacing w:before="0" w:after="0"/>
        <w:rPr>
          <w:rFonts w:cs="Arial"/>
          <w:sz w:val="22"/>
          <w:szCs w:val="22"/>
          <w:lang w:val="pt-BR" w:eastAsia="x-none"/>
        </w:rPr>
      </w:pPr>
    </w:p>
    <w:p w14:paraId="6A19EAAF" w14:textId="77777777" w:rsidR="00371AA5" w:rsidRPr="00371AA5" w:rsidRDefault="00371AA5" w:rsidP="00371AA5">
      <w:pPr>
        <w:widowControl w:val="0"/>
        <w:tabs>
          <w:tab w:val="left" w:pos="6804"/>
        </w:tabs>
        <w:spacing w:before="0" w:after="0"/>
        <w:ind w:left="567" w:hanging="567"/>
        <w:rPr>
          <w:rFonts w:cs="Arial"/>
          <w:sz w:val="22"/>
          <w:szCs w:val="22"/>
          <w:lang w:val="pt-BR" w:eastAsia="x-none"/>
        </w:rPr>
      </w:pPr>
      <w:r w:rsidRPr="00371AA5">
        <w:rPr>
          <w:rFonts w:cs="Arial"/>
          <w:sz w:val="22"/>
          <w:szCs w:val="22"/>
          <w:lang w:val="pt-BR" w:eastAsia="x-none"/>
        </w:rPr>
        <w:t xml:space="preserve">25. </w:t>
      </w:r>
      <w:r w:rsidRPr="00371AA5">
        <w:rPr>
          <w:rFonts w:cs="Arial"/>
          <w:sz w:val="22"/>
          <w:szCs w:val="22"/>
          <w:lang w:val="pt-BR" w:eastAsia="x-none"/>
        </w:rPr>
        <w:tab/>
        <w:t>Um centro de negócios compreendendo diversos edifícios, cada um deles podendo ser utilizado individualmente, é um exemplo de ativo qualificável no qual cada parte está em condições de ser utilizada enquanto a construção das outras partes continua. Um exemplo de ativo qualificável que precisa estar completo antes de qualquer parte poder ser utilizada é uma planta industrial que envolve diversos processos que são executados sequencialmente nas diversas partes da planta no mesmo local, tal como uma siderúrgica.</w:t>
      </w:r>
    </w:p>
    <w:p w14:paraId="7F4D2A77" w14:textId="77777777" w:rsidR="00371AA5" w:rsidRPr="00371AA5" w:rsidRDefault="00371AA5" w:rsidP="00371AA5">
      <w:pPr>
        <w:spacing w:before="0" w:after="0"/>
        <w:rPr>
          <w:rFonts w:cs="Arial"/>
          <w:b/>
          <w:sz w:val="22"/>
          <w:szCs w:val="22"/>
          <w:lang w:val="pt-BR"/>
        </w:rPr>
      </w:pPr>
    </w:p>
    <w:p w14:paraId="4E6310D7" w14:textId="77777777" w:rsidR="00371AA5" w:rsidRPr="00371AA5" w:rsidRDefault="00371AA5" w:rsidP="00371AA5">
      <w:pPr>
        <w:spacing w:before="0" w:after="0"/>
        <w:rPr>
          <w:rFonts w:cs="Arial"/>
          <w:b/>
          <w:sz w:val="22"/>
          <w:szCs w:val="22"/>
          <w:lang w:val="pt-BR"/>
        </w:rPr>
      </w:pPr>
      <w:r w:rsidRPr="00371AA5">
        <w:rPr>
          <w:rFonts w:cs="Arial"/>
          <w:b/>
          <w:sz w:val="22"/>
          <w:szCs w:val="22"/>
          <w:lang w:val="pt-BR"/>
        </w:rPr>
        <w:t>Divulgação</w:t>
      </w:r>
    </w:p>
    <w:p w14:paraId="4989DA74" w14:textId="77777777" w:rsidR="00371AA5" w:rsidRPr="00371AA5" w:rsidRDefault="00371AA5" w:rsidP="00371AA5">
      <w:pPr>
        <w:widowControl w:val="0"/>
        <w:tabs>
          <w:tab w:val="left" w:pos="6804"/>
        </w:tabs>
        <w:spacing w:before="0" w:after="0"/>
        <w:rPr>
          <w:rFonts w:cs="Arial"/>
          <w:sz w:val="22"/>
          <w:szCs w:val="22"/>
          <w:lang w:val="pt-BR" w:eastAsia="x-none"/>
        </w:rPr>
      </w:pPr>
    </w:p>
    <w:p w14:paraId="488E5F85" w14:textId="77777777" w:rsidR="00371AA5" w:rsidRPr="00371AA5" w:rsidRDefault="00371AA5" w:rsidP="00371AA5">
      <w:pPr>
        <w:widowControl w:val="0"/>
        <w:tabs>
          <w:tab w:val="left" w:pos="6804"/>
        </w:tabs>
        <w:spacing w:before="0" w:after="0"/>
        <w:ind w:left="567" w:hanging="567"/>
        <w:rPr>
          <w:rFonts w:cs="Arial"/>
          <w:sz w:val="22"/>
          <w:szCs w:val="22"/>
          <w:lang w:val="pt-BR" w:eastAsia="x-none"/>
        </w:rPr>
      </w:pPr>
      <w:r w:rsidRPr="00371AA5">
        <w:rPr>
          <w:rFonts w:cs="Arial"/>
          <w:sz w:val="22"/>
          <w:szCs w:val="22"/>
          <w:lang w:val="pt-BR" w:eastAsia="x-none"/>
        </w:rPr>
        <w:t xml:space="preserve">26. </w:t>
      </w:r>
      <w:r w:rsidRPr="00371AA5">
        <w:rPr>
          <w:rFonts w:cs="Arial"/>
          <w:sz w:val="22"/>
          <w:szCs w:val="22"/>
          <w:lang w:val="pt-BR" w:eastAsia="x-none"/>
        </w:rPr>
        <w:tab/>
        <w:t>A entidade deve divulgar:</w:t>
      </w:r>
    </w:p>
    <w:p w14:paraId="18F340D1" w14:textId="77777777" w:rsidR="00371AA5" w:rsidRPr="00371AA5" w:rsidRDefault="00371AA5" w:rsidP="00371AA5">
      <w:pPr>
        <w:widowControl w:val="0"/>
        <w:numPr>
          <w:ilvl w:val="0"/>
          <w:numId w:val="17"/>
        </w:numPr>
        <w:spacing w:before="0" w:after="0"/>
        <w:ind w:left="993" w:hanging="426"/>
        <w:rPr>
          <w:rFonts w:cs="Arial"/>
          <w:bCs/>
          <w:iCs/>
          <w:color w:val="000000"/>
          <w:sz w:val="22"/>
          <w:szCs w:val="22"/>
          <w:lang w:val="pt-BR"/>
        </w:rPr>
      </w:pPr>
      <w:r w:rsidRPr="00371AA5">
        <w:rPr>
          <w:rFonts w:cs="Arial"/>
          <w:bCs/>
          <w:iCs/>
          <w:color w:val="000000"/>
          <w:sz w:val="22"/>
          <w:szCs w:val="22"/>
          <w:lang w:val="pt-BR"/>
        </w:rPr>
        <w:t>o total de custos de empréstimos capitalizados durante o período; e</w:t>
      </w:r>
    </w:p>
    <w:p w14:paraId="470A610D" w14:textId="77777777" w:rsidR="00371AA5" w:rsidRPr="00371AA5" w:rsidRDefault="00371AA5" w:rsidP="00371AA5">
      <w:pPr>
        <w:widowControl w:val="0"/>
        <w:numPr>
          <w:ilvl w:val="0"/>
          <w:numId w:val="17"/>
        </w:numPr>
        <w:spacing w:before="0" w:after="0"/>
        <w:ind w:left="993" w:hanging="426"/>
        <w:rPr>
          <w:rFonts w:cs="Arial"/>
          <w:bCs/>
          <w:iCs/>
          <w:color w:val="000000"/>
          <w:sz w:val="22"/>
          <w:szCs w:val="22"/>
          <w:lang w:val="pt-BR"/>
        </w:rPr>
      </w:pPr>
      <w:r w:rsidRPr="00371AA5">
        <w:rPr>
          <w:rFonts w:cs="Arial"/>
          <w:bCs/>
          <w:iCs/>
          <w:color w:val="000000"/>
          <w:sz w:val="22"/>
          <w:szCs w:val="22"/>
          <w:lang w:val="pt-BR"/>
        </w:rPr>
        <w:t>a taxa de capitalização utilizada na determinação do montante dos custos de empréstimos elegíveis à capitalização.</w:t>
      </w:r>
    </w:p>
    <w:p w14:paraId="743A025E" w14:textId="77777777" w:rsidR="00371AA5" w:rsidRPr="00371AA5" w:rsidRDefault="00371AA5" w:rsidP="00371AA5">
      <w:pPr>
        <w:spacing w:before="0" w:after="0"/>
        <w:rPr>
          <w:rFonts w:cs="Arial"/>
          <w:b/>
          <w:sz w:val="22"/>
          <w:szCs w:val="22"/>
          <w:lang w:val="pt-BR"/>
        </w:rPr>
      </w:pPr>
    </w:p>
    <w:p w14:paraId="7079B766" w14:textId="77777777" w:rsidR="00371AA5" w:rsidRPr="00371AA5" w:rsidRDefault="00371AA5" w:rsidP="00371AA5">
      <w:pPr>
        <w:spacing w:before="0" w:after="0"/>
        <w:rPr>
          <w:rFonts w:cs="Arial"/>
          <w:b/>
          <w:sz w:val="22"/>
          <w:szCs w:val="22"/>
          <w:lang w:val="pt-BR"/>
        </w:rPr>
      </w:pPr>
      <w:r w:rsidRPr="00371AA5">
        <w:rPr>
          <w:rFonts w:cs="Arial"/>
          <w:b/>
          <w:sz w:val="22"/>
          <w:szCs w:val="22"/>
          <w:lang w:val="pt-BR"/>
        </w:rPr>
        <w:t>Disposições transitórias</w:t>
      </w:r>
    </w:p>
    <w:p w14:paraId="087DA996" w14:textId="77777777" w:rsidR="00371AA5" w:rsidRPr="00371AA5" w:rsidRDefault="00371AA5" w:rsidP="00371AA5">
      <w:pPr>
        <w:spacing w:before="0" w:after="0"/>
        <w:rPr>
          <w:rFonts w:cs="Arial"/>
          <w:b/>
          <w:sz w:val="22"/>
          <w:szCs w:val="22"/>
          <w:lang w:val="pt-BR"/>
        </w:rPr>
      </w:pPr>
    </w:p>
    <w:p w14:paraId="57DF97C3" w14:textId="77777777" w:rsidR="00371AA5" w:rsidRPr="00371AA5" w:rsidRDefault="00371AA5" w:rsidP="00371AA5">
      <w:pPr>
        <w:widowControl w:val="0"/>
        <w:tabs>
          <w:tab w:val="left" w:pos="6804"/>
        </w:tabs>
        <w:spacing w:before="0" w:after="0"/>
        <w:ind w:left="567" w:hanging="567"/>
        <w:rPr>
          <w:rFonts w:cs="Arial"/>
          <w:sz w:val="22"/>
          <w:szCs w:val="22"/>
          <w:lang w:val="pt-BR" w:eastAsia="x-none"/>
        </w:rPr>
      </w:pPr>
      <w:r w:rsidRPr="00371AA5">
        <w:rPr>
          <w:rFonts w:cs="Arial"/>
          <w:sz w:val="22"/>
          <w:szCs w:val="22"/>
          <w:lang w:val="pt-BR" w:eastAsia="x-none"/>
        </w:rPr>
        <w:t xml:space="preserve">27. </w:t>
      </w:r>
      <w:r w:rsidRPr="00371AA5">
        <w:rPr>
          <w:rFonts w:cs="Arial"/>
          <w:sz w:val="22"/>
          <w:szCs w:val="22"/>
          <w:lang w:val="pt-BR" w:eastAsia="x-none"/>
        </w:rPr>
        <w:tab/>
        <w:t>Quando a aplicação deste Pronunciamento constituir uma alteração de política contábil, a entidade deve aplicar o Pronunciamento aos custos de empréstimos relacionados aos ativos qualificáveis para os quais a data de início da capitalização é a mesma ou posterior à data de sua entrada em vigor.</w:t>
      </w:r>
    </w:p>
    <w:p w14:paraId="37CDFD7D" w14:textId="77777777" w:rsidR="00371AA5" w:rsidRPr="00371AA5" w:rsidRDefault="00371AA5" w:rsidP="00371AA5">
      <w:pPr>
        <w:widowControl w:val="0"/>
        <w:tabs>
          <w:tab w:val="left" w:pos="6804"/>
        </w:tabs>
        <w:spacing w:before="0" w:after="0"/>
        <w:rPr>
          <w:rFonts w:cs="Arial"/>
          <w:sz w:val="22"/>
          <w:szCs w:val="22"/>
          <w:lang w:val="pt-BR" w:eastAsia="x-none"/>
        </w:rPr>
      </w:pPr>
    </w:p>
    <w:p w14:paraId="74828298" w14:textId="77777777" w:rsidR="00371AA5" w:rsidRPr="00371AA5" w:rsidRDefault="00371AA5" w:rsidP="00371AA5">
      <w:pPr>
        <w:widowControl w:val="0"/>
        <w:tabs>
          <w:tab w:val="left" w:pos="6804"/>
        </w:tabs>
        <w:spacing w:before="0" w:after="0"/>
        <w:ind w:left="567" w:hanging="567"/>
        <w:rPr>
          <w:rFonts w:cs="Arial"/>
          <w:sz w:val="22"/>
          <w:szCs w:val="22"/>
          <w:lang w:val="pt-BR" w:eastAsia="x-none"/>
        </w:rPr>
      </w:pPr>
      <w:r w:rsidRPr="00371AA5">
        <w:rPr>
          <w:rFonts w:cs="Arial"/>
          <w:sz w:val="22"/>
          <w:szCs w:val="22"/>
          <w:lang w:val="pt-BR" w:eastAsia="x-none"/>
        </w:rPr>
        <w:t xml:space="preserve">28. </w:t>
      </w:r>
      <w:r w:rsidRPr="00371AA5">
        <w:rPr>
          <w:rFonts w:cs="Arial"/>
          <w:sz w:val="22"/>
          <w:szCs w:val="22"/>
          <w:lang w:val="pt-BR" w:eastAsia="x-none"/>
        </w:rPr>
        <w:tab/>
        <w:t xml:space="preserve">Entretanto, a entidade pode designar qualquer data anterior à data de entrada em vigor do </w:t>
      </w:r>
      <w:r w:rsidRPr="00371AA5">
        <w:rPr>
          <w:rFonts w:cs="Arial"/>
          <w:sz w:val="22"/>
          <w:szCs w:val="22"/>
          <w:lang w:val="pt-BR" w:eastAsia="x-none"/>
        </w:rPr>
        <w:lastRenderedPageBreak/>
        <w:t>Pronunciamento e aplicá-lo aos custos de empréstimos relacionados a todos os ativos qualificáveis para os quais a data de início da capitalização é a mesma ou posterior a essa data.</w:t>
      </w:r>
    </w:p>
    <w:p w14:paraId="4DD8E76C" w14:textId="77777777" w:rsidR="00371AA5" w:rsidRPr="00371AA5" w:rsidRDefault="00371AA5" w:rsidP="00371AA5">
      <w:pPr>
        <w:widowControl w:val="0"/>
        <w:tabs>
          <w:tab w:val="left" w:pos="6804"/>
        </w:tabs>
        <w:spacing w:before="0" w:after="0"/>
        <w:rPr>
          <w:rFonts w:cs="Arial"/>
          <w:sz w:val="22"/>
          <w:szCs w:val="22"/>
          <w:lang w:val="pt-BR" w:eastAsia="x-none"/>
        </w:rPr>
      </w:pPr>
    </w:p>
    <w:p w14:paraId="1532EAC9" w14:textId="69FFE858" w:rsidR="00371AA5" w:rsidRPr="00371AA5" w:rsidRDefault="00371AA5" w:rsidP="00371AA5">
      <w:pPr>
        <w:widowControl w:val="0"/>
        <w:tabs>
          <w:tab w:val="left" w:pos="6804"/>
        </w:tabs>
        <w:spacing w:before="0" w:after="0"/>
        <w:ind w:left="709" w:hanging="709"/>
        <w:rPr>
          <w:rFonts w:cs="Arial"/>
          <w:sz w:val="22"/>
          <w:szCs w:val="22"/>
          <w:lang w:val="pt-BR" w:eastAsia="x-none"/>
        </w:rPr>
      </w:pPr>
      <w:r w:rsidRPr="00371AA5">
        <w:rPr>
          <w:rFonts w:cs="Arial"/>
          <w:sz w:val="22"/>
          <w:szCs w:val="22"/>
          <w:lang w:val="pt-BR" w:eastAsia="x-none"/>
        </w:rPr>
        <w:t>29 e 29A. (Eliminados)</w:t>
      </w:r>
    </w:p>
    <w:p w14:paraId="5D65DE9C" w14:textId="77777777" w:rsidR="00371AA5" w:rsidRPr="00371AA5" w:rsidRDefault="00371AA5" w:rsidP="00371AA5">
      <w:pPr>
        <w:widowControl w:val="0"/>
        <w:tabs>
          <w:tab w:val="left" w:pos="6804"/>
        </w:tabs>
        <w:spacing w:before="0" w:after="0"/>
        <w:rPr>
          <w:rFonts w:cs="Arial"/>
          <w:sz w:val="22"/>
          <w:szCs w:val="22"/>
          <w:lang w:val="pt-BR" w:eastAsia="x-none"/>
        </w:rPr>
      </w:pPr>
    </w:p>
    <w:p w14:paraId="2819EC5A" w14:textId="77777777" w:rsidR="00371AA5" w:rsidRPr="00371AA5" w:rsidRDefault="00371AA5" w:rsidP="00371AA5">
      <w:pPr>
        <w:widowControl w:val="0"/>
        <w:tabs>
          <w:tab w:val="left" w:pos="6804"/>
        </w:tabs>
        <w:spacing w:before="0" w:after="0"/>
        <w:ind w:left="567" w:hanging="567"/>
        <w:rPr>
          <w:rFonts w:cs="Arial"/>
          <w:bCs/>
          <w:sz w:val="22"/>
          <w:szCs w:val="22"/>
          <w:lang w:val="pt-BR" w:eastAsia="en-US"/>
        </w:rPr>
      </w:pPr>
      <w:r w:rsidRPr="00371AA5">
        <w:rPr>
          <w:rFonts w:cs="Arial"/>
          <w:sz w:val="22"/>
          <w:szCs w:val="22"/>
          <w:lang w:val="pt-BR" w:eastAsia="x-none"/>
        </w:rPr>
        <w:t xml:space="preserve">30. </w:t>
      </w:r>
      <w:r w:rsidRPr="00371AA5">
        <w:rPr>
          <w:rFonts w:cs="Arial"/>
          <w:sz w:val="22"/>
          <w:szCs w:val="22"/>
          <w:lang w:val="pt-BR" w:eastAsia="x-none"/>
        </w:rPr>
        <w:tab/>
        <w:t xml:space="preserve">Este Pronunciamento </w:t>
      </w:r>
      <w:r w:rsidRPr="00371AA5">
        <w:rPr>
          <w:rFonts w:cs="Arial"/>
          <w:bCs/>
          <w:sz w:val="22"/>
          <w:szCs w:val="22"/>
          <w:lang w:val="pt-BR" w:eastAsia="en-US"/>
        </w:rPr>
        <w:t>substitui o Pronunciamento Técnico CPC 20 – Custos de Empréstimos, aprovado em 08.05.2009.</w:t>
      </w:r>
    </w:p>
    <w:p w14:paraId="39DA7302" w14:textId="058CFED5" w:rsidR="00D978F2" w:rsidRPr="00F13E76" w:rsidRDefault="00D978F2" w:rsidP="00D978F2">
      <w:pPr>
        <w:spacing w:before="0" w:after="0"/>
        <w:rPr>
          <w:rFonts w:ascii="Times New Roman" w:hAnsi="Times New Roman"/>
          <w:b/>
          <w:sz w:val="24"/>
        </w:rPr>
      </w:pPr>
    </w:p>
    <w:sectPr w:rsidR="00D978F2" w:rsidRPr="00F13E76"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9C46F" w14:textId="77777777" w:rsidR="0084434F" w:rsidRDefault="0084434F" w:rsidP="0096648A">
      <w:pPr>
        <w:spacing w:before="0" w:after="0"/>
      </w:pPr>
      <w:r>
        <w:separator/>
      </w:r>
    </w:p>
  </w:endnote>
  <w:endnote w:type="continuationSeparator" w:id="0">
    <w:p w14:paraId="36D8BD19" w14:textId="77777777" w:rsidR="0084434F" w:rsidRDefault="0084434F"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D76E29" w:rsidRDefault="00E83A7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rPr>
        <w:sz w:val="24"/>
        <w:szCs w:val="24"/>
      </w:rPr>
    </w:sdtEndPr>
    <w:sdtContent>
      <w:p w14:paraId="4E8AE55F" w14:textId="76744758" w:rsidR="00AB3649" w:rsidRPr="00AB3649" w:rsidRDefault="00AB3649">
        <w:pPr>
          <w:pStyle w:val="Rodap"/>
          <w:jc w:val="center"/>
          <w:rPr>
            <w:rFonts w:asciiTheme="minorHAnsi" w:hAnsiTheme="minorHAnsi" w:cstheme="minorHAnsi"/>
            <w:szCs w:val="20"/>
          </w:rPr>
        </w:pPr>
        <w:r w:rsidRPr="009B5695">
          <w:rPr>
            <w:rFonts w:asciiTheme="minorHAnsi" w:hAnsiTheme="minorHAnsi" w:cstheme="minorHAnsi"/>
            <w:sz w:val="24"/>
          </w:rPr>
          <w:fldChar w:fldCharType="begin"/>
        </w:r>
        <w:r w:rsidRPr="009B5695">
          <w:rPr>
            <w:rFonts w:asciiTheme="minorHAnsi" w:hAnsiTheme="minorHAnsi" w:cstheme="minorHAnsi"/>
            <w:sz w:val="24"/>
          </w:rPr>
          <w:instrText>PAGE   \* MERGEFORMAT</w:instrText>
        </w:r>
        <w:r w:rsidRPr="009B5695">
          <w:rPr>
            <w:rFonts w:asciiTheme="minorHAnsi" w:hAnsiTheme="minorHAnsi" w:cstheme="minorHAnsi"/>
            <w:sz w:val="24"/>
          </w:rPr>
          <w:fldChar w:fldCharType="separate"/>
        </w:r>
        <w:r w:rsidR="00E83A78" w:rsidRPr="00E83A78">
          <w:rPr>
            <w:rFonts w:asciiTheme="minorHAnsi" w:hAnsiTheme="minorHAnsi" w:cstheme="minorHAnsi"/>
            <w:noProof/>
            <w:sz w:val="24"/>
            <w:lang w:val="pt-BR"/>
          </w:rPr>
          <w:t>2</w:t>
        </w:r>
        <w:r w:rsidRPr="009B5695">
          <w:rPr>
            <w:rFonts w:asciiTheme="minorHAnsi" w:hAnsiTheme="minorHAnsi" w:cstheme="minorHAnsi"/>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CBA27" w14:textId="77777777" w:rsidR="0084434F" w:rsidRDefault="0084434F" w:rsidP="0096648A">
      <w:pPr>
        <w:spacing w:before="0" w:after="0"/>
      </w:pPr>
      <w:r>
        <w:separator/>
      </w:r>
    </w:p>
  </w:footnote>
  <w:footnote w:type="continuationSeparator" w:id="0">
    <w:p w14:paraId="7315B982" w14:textId="77777777" w:rsidR="0084434F" w:rsidRDefault="0084434F" w:rsidP="009664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77777777" w:rsidR="00A21437" w:rsidRPr="00B62631" w:rsidRDefault="00E83A78" w:rsidP="00A21437">
    <w:pPr>
      <w:pStyle w:val="Cabealho"/>
      <w:spacing w:before="0" w:after="0"/>
      <w:jc w:val="center"/>
      <w:rPr>
        <w:rFonts w:asciiTheme="minorHAnsi" w:hAnsiTheme="minorHAnsi" w:cstheme="minorHAnsi"/>
        <w:noProof/>
        <w:color w:val="4472C4" w:themeColor="accent1"/>
        <w:sz w:val="18"/>
        <w:szCs w:val="18"/>
      </w:rPr>
    </w:pPr>
    <w:hyperlink r:id="rId2" w:history="1">
      <w:r w:rsidR="00A21437" w:rsidRPr="00B62631">
        <w:rPr>
          <w:rStyle w:val="Hyperlink"/>
          <w:rFonts w:asciiTheme="minorHAnsi" w:hAnsiTheme="minorHAnsi" w:cstheme="minorHAnsi"/>
          <w:color w:val="4472C4" w:themeColor="accent1"/>
          <w:sz w:val="18"/>
          <w:szCs w:val="18"/>
        </w:rPr>
        <w:t>www.cvm.gov.br</w:t>
      </w:r>
    </w:hyperlink>
  </w:p>
  <w:p w14:paraId="18930FD4" w14:textId="4EF104F1" w:rsidR="00D76E29" w:rsidRPr="00A21437" w:rsidRDefault="00A21437" w:rsidP="00A21437">
    <w:pPr>
      <w:pStyle w:val="Cabealho"/>
      <w:spacing w:before="240" w:after="240"/>
      <w:rPr>
        <w:rFonts w:asciiTheme="minorHAnsi" w:hAnsiTheme="minorHAnsi" w:cstheme="minorHAnsi"/>
      </w:rPr>
    </w:pPr>
    <w:r w:rsidRPr="00E83A78">
      <w:rPr>
        <w:rFonts w:asciiTheme="minorHAnsi" w:hAnsiTheme="minorHAnsi" w:cstheme="minorHAnsi"/>
        <w:szCs w:val="20"/>
      </w:rPr>
      <w:t xml:space="preserve">RESOLUÇÃO CVM Nº </w:t>
    </w:r>
    <w:r w:rsidR="00E83A78" w:rsidRPr="00E83A78">
      <w:rPr>
        <w:rFonts w:asciiTheme="minorHAnsi" w:hAnsiTheme="minorHAnsi" w:cstheme="minorHAnsi"/>
        <w:szCs w:val="20"/>
      </w:rPr>
      <w:t>101</w:t>
    </w:r>
    <w:r w:rsidRPr="00E83A78">
      <w:rPr>
        <w:rFonts w:asciiTheme="minorHAnsi" w:hAnsiTheme="minorHAnsi" w:cstheme="minorHAnsi"/>
        <w:szCs w:val="20"/>
      </w:rPr>
      <w:t xml:space="preserve">, DE </w:t>
    </w:r>
    <w:r w:rsidR="00E83A78" w:rsidRPr="00E83A78">
      <w:rPr>
        <w:rFonts w:asciiTheme="minorHAnsi" w:hAnsiTheme="minorHAnsi" w:cstheme="minorHAnsi"/>
        <w:szCs w:val="20"/>
      </w:rPr>
      <w:t xml:space="preserve">20 </w:t>
    </w:r>
    <w:r w:rsidRPr="00E83A78">
      <w:rPr>
        <w:rFonts w:asciiTheme="minorHAnsi" w:hAnsiTheme="minorHAnsi" w:cstheme="minorHAnsi"/>
        <w:szCs w:val="20"/>
      </w:rPr>
      <w:t xml:space="preserve">DE </w:t>
    </w:r>
    <w:r w:rsidR="00E83A78" w:rsidRPr="00E83A78">
      <w:rPr>
        <w:rFonts w:asciiTheme="minorHAnsi" w:hAnsiTheme="minorHAnsi" w:cstheme="minorHAnsi"/>
        <w:szCs w:val="20"/>
      </w:rPr>
      <w:t xml:space="preserve">MAIO </w:t>
    </w:r>
    <w:r w:rsidRPr="00E83A78">
      <w:rPr>
        <w:rFonts w:asciiTheme="minorHAnsi" w:hAnsiTheme="minorHAnsi" w:cstheme="minorHAnsi"/>
        <w:szCs w:val="20"/>
      </w:rPr>
      <w:t>DE 202</w:t>
    </w:r>
    <w:r w:rsidR="00FF4702" w:rsidRPr="00E83A78">
      <w:rPr>
        <w:rFonts w:asciiTheme="minorHAnsi" w:hAnsiTheme="minorHAnsi" w:cstheme="minorHAnsi"/>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7A96B857" w:rsidR="00D76E29" w:rsidRPr="00B62631" w:rsidRDefault="00E83A78" w:rsidP="00DF62F3">
    <w:pPr>
      <w:pStyle w:val="Cabealho"/>
      <w:spacing w:before="0" w:after="360"/>
      <w:jc w:val="center"/>
      <w:rPr>
        <w:color w:val="4472C4" w:themeColor="accent1"/>
      </w:rPr>
    </w:pPr>
    <w:hyperlink r:id="rId2" w:history="1">
      <w:r w:rsidR="00DF62F3" w:rsidRPr="00B62631">
        <w:rPr>
          <w:rStyle w:val="Hyperlink"/>
          <w:rFonts w:asciiTheme="minorHAnsi" w:hAnsiTheme="minorHAnsi" w:cstheme="minorHAnsi"/>
          <w:color w:val="4472C4" w:themeColor="accent1"/>
          <w:sz w:val="18"/>
          <w:szCs w:val="18"/>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81575"/>
    <w:multiLevelType w:val="hybridMultilevel"/>
    <w:tmpl w:val="45183A96"/>
    <w:lvl w:ilvl="0" w:tplc="F0D80E20">
      <w:start w:val="1"/>
      <w:numFmt w:val="lowerLetter"/>
      <w:lvlText w:val="(%1)"/>
      <w:lvlJc w:val="left"/>
      <w:pPr>
        <w:tabs>
          <w:tab w:val="num" w:pos="1070"/>
        </w:tabs>
        <w:ind w:left="1070" w:hanging="360"/>
      </w:pPr>
      <w:rPr>
        <w:rFonts w:hint="default"/>
        <w:b w:val="0"/>
        <w:i w:val="0"/>
        <w:strike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4F10573"/>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9F62F89"/>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C482A69"/>
    <w:multiLevelType w:val="hybridMultilevel"/>
    <w:tmpl w:val="D24C6F70"/>
    <w:lvl w:ilvl="0" w:tplc="7E88CAF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5" w15:restartNumberingAfterBreak="0">
    <w:nsid w:val="1E4C706F"/>
    <w:multiLevelType w:val="hybridMultilevel"/>
    <w:tmpl w:val="3D72C0AC"/>
    <w:lvl w:ilvl="0" w:tplc="3E4A218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33FD3B4C"/>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3ED772AE"/>
    <w:multiLevelType w:val="hybridMultilevel"/>
    <w:tmpl w:val="4A0AED1C"/>
    <w:lvl w:ilvl="0" w:tplc="0A92FA26">
      <w:start w:val="1"/>
      <w:numFmt w:val="lowerLetter"/>
      <w:lvlText w:val="(%1)"/>
      <w:lvlJc w:val="left"/>
      <w:pPr>
        <w:tabs>
          <w:tab w:val="num" w:pos="1070"/>
        </w:tabs>
        <w:ind w:left="1070" w:hanging="360"/>
      </w:pPr>
      <w:rPr>
        <w:rFonts w:hint="default"/>
        <w:b w:val="0"/>
        <w:i w:val="0"/>
        <w:strike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42254E59"/>
    <w:multiLevelType w:val="hybridMultilevel"/>
    <w:tmpl w:val="CCA430D0"/>
    <w:lvl w:ilvl="0" w:tplc="6A7EC93E">
      <w:start w:val="1"/>
      <w:numFmt w:val="lowerLetter"/>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9" w15:restartNumberingAfterBreak="0">
    <w:nsid w:val="438579B5"/>
    <w:multiLevelType w:val="hybridMultilevel"/>
    <w:tmpl w:val="BF88709E"/>
    <w:lvl w:ilvl="0" w:tplc="EC229896">
      <w:start w:val="1"/>
      <w:numFmt w:val="lowerLetter"/>
      <w:lvlText w:val="(%1)"/>
      <w:lvlJc w:val="left"/>
      <w:pPr>
        <w:ind w:left="700" w:hanging="360"/>
      </w:pPr>
      <w:rPr>
        <w:rFonts w:hint="default"/>
      </w:rPr>
    </w:lvl>
    <w:lvl w:ilvl="1" w:tplc="04160019" w:tentative="1">
      <w:start w:val="1"/>
      <w:numFmt w:val="lowerLetter"/>
      <w:lvlText w:val="%2."/>
      <w:lvlJc w:val="left"/>
      <w:pPr>
        <w:ind w:left="1420" w:hanging="360"/>
      </w:pPr>
    </w:lvl>
    <w:lvl w:ilvl="2" w:tplc="0416001B" w:tentative="1">
      <w:start w:val="1"/>
      <w:numFmt w:val="lowerRoman"/>
      <w:lvlText w:val="%3."/>
      <w:lvlJc w:val="right"/>
      <w:pPr>
        <w:ind w:left="2140" w:hanging="180"/>
      </w:pPr>
    </w:lvl>
    <w:lvl w:ilvl="3" w:tplc="0416000F" w:tentative="1">
      <w:start w:val="1"/>
      <w:numFmt w:val="decimal"/>
      <w:lvlText w:val="%4."/>
      <w:lvlJc w:val="left"/>
      <w:pPr>
        <w:ind w:left="2860" w:hanging="360"/>
      </w:pPr>
    </w:lvl>
    <w:lvl w:ilvl="4" w:tplc="04160019" w:tentative="1">
      <w:start w:val="1"/>
      <w:numFmt w:val="lowerLetter"/>
      <w:lvlText w:val="%5."/>
      <w:lvlJc w:val="left"/>
      <w:pPr>
        <w:ind w:left="3580" w:hanging="360"/>
      </w:pPr>
    </w:lvl>
    <w:lvl w:ilvl="5" w:tplc="0416001B" w:tentative="1">
      <w:start w:val="1"/>
      <w:numFmt w:val="lowerRoman"/>
      <w:lvlText w:val="%6."/>
      <w:lvlJc w:val="right"/>
      <w:pPr>
        <w:ind w:left="4300" w:hanging="180"/>
      </w:pPr>
    </w:lvl>
    <w:lvl w:ilvl="6" w:tplc="0416000F" w:tentative="1">
      <w:start w:val="1"/>
      <w:numFmt w:val="decimal"/>
      <w:lvlText w:val="%7."/>
      <w:lvlJc w:val="left"/>
      <w:pPr>
        <w:ind w:left="5020" w:hanging="360"/>
      </w:pPr>
    </w:lvl>
    <w:lvl w:ilvl="7" w:tplc="04160019" w:tentative="1">
      <w:start w:val="1"/>
      <w:numFmt w:val="lowerLetter"/>
      <w:lvlText w:val="%8."/>
      <w:lvlJc w:val="left"/>
      <w:pPr>
        <w:ind w:left="5740" w:hanging="360"/>
      </w:pPr>
    </w:lvl>
    <w:lvl w:ilvl="8" w:tplc="0416001B" w:tentative="1">
      <w:start w:val="1"/>
      <w:numFmt w:val="lowerRoman"/>
      <w:lvlText w:val="%9."/>
      <w:lvlJc w:val="right"/>
      <w:pPr>
        <w:ind w:left="6460" w:hanging="180"/>
      </w:pPr>
    </w:lvl>
  </w:abstractNum>
  <w:abstractNum w:abstractNumId="10" w15:restartNumberingAfterBreak="0">
    <w:nsid w:val="4DF562FF"/>
    <w:multiLevelType w:val="hybridMultilevel"/>
    <w:tmpl w:val="18302B66"/>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4E0269C4"/>
    <w:multiLevelType w:val="hybridMultilevel"/>
    <w:tmpl w:val="B2DAE9D0"/>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53D965E2"/>
    <w:multiLevelType w:val="hybridMultilevel"/>
    <w:tmpl w:val="BF88709E"/>
    <w:lvl w:ilvl="0" w:tplc="EC229896">
      <w:start w:val="1"/>
      <w:numFmt w:val="lowerLetter"/>
      <w:lvlText w:val="(%1)"/>
      <w:lvlJc w:val="left"/>
      <w:pPr>
        <w:ind w:left="700" w:hanging="360"/>
      </w:pPr>
      <w:rPr>
        <w:rFonts w:hint="default"/>
      </w:rPr>
    </w:lvl>
    <w:lvl w:ilvl="1" w:tplc="04160019" w:tentative="1">
      <w:start w:val="1"/>
      <w:numFmt w:val="lowerLetter"/>
      <w:lvlText w:val="%2."/>
      <w:lvlJc w:val="left"/>
      <w:pPr>
        <w:ind w:left="1420" w:hanging="360"/>
      </w:pPr>
    </w:lvl>
    <w:lvl w:ilvl="2" w:tplc="0416001B" w:tentative="1">
      <w:start w:val="1"/>
      <w:numFmt w:val="lowerRoman"/>
      <w:lvlText w:val="%3."/>
      <w:lvlJc w:val="right"/>
      <w:pPr>
        <w:ind w:left="2140" w:hanging="180"/>
      </w:pPr>
    </w:lvl>
    <w:lvl w:ilvl="3" w:tplc="0416000F" w:tentative="1">
      <w:start w:val="1"/>
      <w:numFmt w:val="decimal"/>
      <w:lvlText w:val="%4."/>
      <w:lvlJc w:val="left"/>
      <w:pPr>
        <w:ind w:left="2860" w:hanging="360"/>
      </w:pPr>
    </w:lvl>
    <w:lvl w:ilvl="4" w:tplc="04160019" w:tentative="1">
      <w:start w:val="1"/>
      <w:numFmt w:val="lowerLetter"/>
      <w:lvlText w:val="%5."/>
      <w:lvlJc w:val="left"/>
      <w:pPr>
        <w:ind w:left="3580" w:hanging="360"/>
      </w:pPr>
    </w:lvl>
    <w:lvl w:ilvl="5" w:tplc="0416001B" w:tentative="1">
      <w:start w:val="1"/>
      <w:numFmt w:val="lowerRoman"/>
      <w:lvlText w:val="%6."/>
      <w:lvlJc w:val="right"/>
      <w:pPr>
        <w:ind w:left="4300" w:hanging="180"/>
      </w:pPr>
    </w:lvl>
    <w:lvl w:ilvl="6" w:tplc="0416000F" w:tentative="1">
      <w:start w:val="1"/>
      <w:numFmt w:val="decimal"/>
      <w:lvlText w:val="%7."/>
      <w:lvlJc w:val="left"/>
      <w:pPr>
        <w:ind w:left="5020" w:hanging="360"/>
      </w:pPr>
    </w:lvl>
    <w:lvl w:ilvl="7" w:tplc="04160019" w:tentative="1">
      <w:start w:val="1"/>
      <w:numFmt w:val="lowerLetter"/>
      <w:lvlText w:val="%8."/>
      <w:lvlJc w:val="left"/>
      <w:pPr>
        <w:ind w:left="5740" w:hanging="360"/>
      </w:pPr>
    </w:lvl>
    <w:lvl w:ilvl="8" w:tplc="0416001B" w:tentative="1">
      <w:start w:val="1"/>
      <w:numFmt w:val="lowerRoman"/>
      <w:lvlText w:val="%9."/>
      <w:lvlJc w:val="right"/>
      <w:pPr>
        <w:ind w:left="6460" w:hanging="180"/>
      </w:pPr>
    </w:lvl>
  </w:abstractNum>
  <w:abstractNum w:abstractNumId="13" w15:restartNumberingAfterBreak="0">
    <w:nsid w:val="60415BEB"/>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65EB2784"/>
    <w:multiLevelType w:val="hybridMultilevel"/>
    <w:tmpl w:val="5B0A11E6"/>
    <w:lvl w:ilvl="0" w:tplc="EC229896">
      <w:start w:val="1"/>
      <w:numFmt w:val="lowerLetter"/>
      <w:lvlText w:val="(%1)"/>
      <w:lvlJc w:val="left"/>
      <w:pPr>
        <w:ind w:left="700" w:hanging="360"/>
      </w:pPr>
      <w:rPr>
        <w:rFonts w:hint="default"/>
      </w:rPr>
    </w:lvl>
    <w:lvl w:ilvl="1" w:tplc="04160019" w:tentative="1">
      <w:start w:val="1"/>
      <w:numFmt w:val="lowerLetter"/>
      <w:lvlText w:val="%2."/>
      <w:lvlJc w:val="left"/>
      <w:pPr>
        <w:ind w:left="1420" w:hanging="360"/>
      </w:pPr>
    </w:lvl>
    <w:lvl w:ilvl="2" w:tplc="0416001B" w:tentative="1">
      <w:start w:val="1"/>
      <w:numFmt w:val="lowerRoman"/>
      <w:lvlText w:val="%3."/>
      <w:lvlJc w:val="right"/>
      <w:pPr>
        <w:ind w:left="2140" w:hanging="180"/>
      </w:pPr>
    </w:lvl>
    <w:lvl w:ilvl="3" w:tplc="0416000F" w:tentative="1">
      <w:start w:val="1"/>
      <w:numFmt w:val="decimal"/>
      <w:lvlText w:val="%4."/>
      <w:lvlJc w:val="left"/>
      <w:pPr>
        <w:ind w:left="2860" w:hanging="360"/>
      </w:pPr>
    </w:lvl>
    <w:lvl w:ilvl="4" w:tplc="04160019" w:tentative="1">
      <w:start w:val="1"/>
      <w:numFmt w:val="lowerLetter"/>
      <w:lvlText w:val="%5."/>
      <w:lvlJc w:val="left"/>
      <w:pPr>
        <w:ind w:left="3580" w:hanging="360"/>
      </w:pPr>
    </w:lvl>
    <w:lvl w:ilvl="5" w:tplc="0416001B" w:tentative="1">
      <w:start w:val="1"/>
      <w:numFmt w:val="lowerRoman"/>
      <w:lvlText w:val="%6."/>
      <w:lvlJc w:val="right"/>
      <w:pPr>
        <w:ind w:left="4300" w:hanging="180"/>
      </w:pPr>
    </w:lvl>
    <w:lvl w:ilvl="6" w:tplc="0416000F" w:tentative="1">
      <w:start w:val="1"/>
      <w:numFmt w:val="decimal"/>
      <w:lvlText w:val="%7."/>
      <w:lvlJc w:val="left"/>
      <w:pPr>
        <w:ind w:left="5020" w:hanging="360"/>
      </w:pPr>
    </w:lvl>
    <w:lvl w:ilvl="7" w:tplc="04160019" w:tentative="1">
      <w:start w:val="1"/>
      <w:numFmt w:val="lowerLetter"/>
      <w:lvlText w:val="%8."/>
      <w:lvlJc w:val="left"/>
      <w:pPr>
        <w:ind w:left="5740" w:hanging="360"/>
      </w:pPr>
    </w:lvl>
    <w:lvl w:ilvl="8" w:tplc="0416001B" w:tentative="1">
      <w:start w:val="1"/>
      <w:numFmt w:val="lowerRoman"/>
      <w:lvlText w:val="%9."/>
      <w:lvlJc w:val="right"/>
      <w:pPr>
        <w:ind w:left="6460" w:hanging="180"/>
      </w:pPr>
    </w:lvl>
  </w:abstractNum>
  <w:abstractNum w:abstractNumId="15" w15:restartNumberingAfterBreak="0">
    <w:nsid w:val="6AB335DF"/>
    <w:multiLevelType w:val="hybridMultilevel"/>
    <w:tmpl w:val="EA6CB2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0280901"/>
    <w:multiLevelType w:val="hybridMultilevel"/>
    <w:tmpl w:val="2CA2A042"/>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774449BA"/>
    <w:multiLevelType w:val="hybridMultilevel"/>
    <w:tmpl w:val="52084C26"/>
    <w:lvl w:ilvl="0" w:tplc="0A18763E">
      <w:start w:val="1"/>
      <w:numFmt w:val="decimal"/>
      <w:lvlText w:val="%1."/>
      <w:lvlJc w:val="left"/>
      <w:pPr>
        <w:tabs>
          <w:tab w:val="num" w:pos="786"/>
        </w:tabs>
        <w:ind w:left="786" w:hanging="360"/>
      </w:pPr>
      <w:rPr>
        <w:rFonts w:ascii="Times New Roman" w:hAnsi="Times New Roman" w:cs="Times New Roman" w:hint="default"/>
        <w:b w:val="0"/>
        <w:i w:val="0"/>
        <w:sz w:val="24"/>
        <w:szCs w:val="24"/>
        <w:lang w:val="pt-PT"/>
      </w:rPr>
    </w:lvl>
    <w:lvl w:ilvl="1" w:tplc="3B1E6316">
      <w:start w:val="1"/>
      <w:numFmt w:val="lowerLetter"/>
      <w:lvlText w:val="(%2)"/>
      <w:lvlJc w:val="left"/>
      <w:pPr>
        <w:tabs>
          <w:tab w:val="num" w:pos="663"/>
        </w:tabs>
        <w:ind w:left="663" w:hanging="360"/>
      </w:pPr>
      <w:rPr>
        <w:rFonts w:hint="default"/>
        <w:b w:val="0"/>
        <w:i w:val="0"/>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7"/>
  </w:num>
  <w:num w:numId="3">
    <w:abstractNumId w:val="10"/>
  </w:num>
  <w:num w:numId="4">
    <w:abstractNumId w:val="16"/>
  </w:num>
  <w:num w:numId="5">
    <w:abstractNumId w:val="11"/>
  </w:num>
  <w:num w:numId="6">
    <w:abstractNumId w:val="8"/>
  </w:num>
  <w:num w:numId="7">
    <w:abstractNumId w:val="15"/>
  </w:num>
  <w:num w:numId="8">
    <w:abstractNumId w:val="5"/>
  </w:num>
  <w:num w:numId="9">
    <w:abstractNumId w:val="3"/>
  </w:num>
  <w:num w:numId="10">
    <w:abstractNumId w:val="14"/>
  </w:num>
  <w:num w:numId="11">
    <w:abstractNumId w:val="12"/>
  </w:num>
  <w:num w:numId="12">
    <w:abstractNumId w:val="9"/>
  </w:num>
  <w:num w:numId="13">
    <w:abstractNumId w:val="0"/>
  </w:num>
  <w:num w:numId="14">
    <w:abstractNumId w:val="7"/>
  </w:num>
  <w:num w:numId="15">
    <w:abstractNumId w:val="1"/>
  </w:num>
  <w:num w:numId="16">
    <w:abstractNumId w:val="2"/>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A5FA8"/>
    <w:rsid w:val="000C2504"/>
    <w:rsid w:val="00165103"/>
    <w:rsid w:val="00273211"/>
    <w:rsid w:val="00363679"/>
    <w:rsid w:val="00371AA5"/>
    <w:rsid w:val="00381A25"/>
    <w:rsid w:val="00457AC6"/>
    <w:rsid w:val="00552EDE"/>
    <w:rsid w:val="006D6F65"/>
    <w:rsid w:val="007162E7"/>
    <w:rsid w:val="007A4713"/>
    <w:rsid w:val="0084434F"/>
    <w:rsid w:val="008C0534"/>
    <w:rsid w:val="0096648A"/>
    <w:rsid w:val="009B5695"/>
    <w:rsid w:val="009D3457"/>
    <w:rsid w:val="00A21437"/>
    <w:rsid w:val="00A92033"/>
    <w:rsid w:val="00AB3649"/>
    <w:rsid w:val="00B62631"/>
    <w:rsid w:val="00B644F7"/>
    <w:rsid w:val="00C578D8"/>
    <w:rsid w:val="00C72039"/>
    <w:rsid w:val="00C847A0"/>
    <w:rsid w:val="00C85C5E"/>
    <w:rsid w:val="00CD1541"/>
    <w:rsid w:val="00CF08C5"/>
    <w:rsid w:val="00CF424B"/>
    <w:rsid w:val="00D765E7"/>
    <w:rsid w:val="00D978F2"/>
    <w:rsid w:val="00DF62F3"/>
    <w:rsid w:val="00E83A78"/>
    <w:rsid w:val="00FB12E6"/>
    <w:rsid w:val="00FE43EC"/>
    <w:rsid w:val="00FF47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13" ma:contentTypeDescription="Crie um novo documento." ma:contentTypeScope="" ma:versionID="e9d3b4fb498a5610bc9a2c87b382479d">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8e71a05c2e60bc352b07344144fdfae6"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7A24C-C491-418F-ACFB-1D308BF91414}">
  <ds:schemaRefs>
    <ds:schemaRef ds:uri="http://schemas.microsoft.com/sharepoint/v3/contenttype/forms"/>
  </ds:schemaRefs>
</ds:datastoreItem>
</file>

<file path=customXml/itemProps2.xml><?xml version="1.0" encoding="utf-8"?>
<ds:datastoreItem xmlns:ds="http://schemas.openxmlformats.org/officeDocument/2006/customXml" ds:itemID="{7A539F9D-2FE4-4FF9-AA47-BD409D3CE893}">
  <ds:schemaRefs>
    <ds:schemaRef ds:uri="http://purl.org/dc/terms/"/>
    <ds:schemaRef ds:uri="http://schemas.openxmlformats.org/package/2006/metadata/core-properties"/>
    <ds:schemaRef ds:uri="http://purl.org/dc/dcmitype/"/>
    <ds:schemaRef ds:uri="http://schemas.microsoft.com/office/infopath/2007/PartnerControls"/>
    <ds:schemaRef ds:uri="7b795b17-f7d2-4f27-ba4a-6f1f7eb48eda"/>
    <ds:schemaRef ds:uri="http://purl.org/dc/elements/1.1/"/>
    <ds:schemaRef ds:uri="http://schemas.microsoft.com/office/2006/documentManagement/types"/>
    <ds:schemaRef ds:uri="b69b09d8-fb11-4638-84fd-30340ac4eb2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575AD66-8FCB-4E81-A5D8-154F45178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06C6FE-42AF-45A8-A870-14FE3EE8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2299</Words>
  <Characters>12416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Donizete Batistella</dc:creator>
  <cp:keywords/>
  <dc:description/>
  <cp:lastModifiedBy>Renata dos Santos Leitão</cp:lastModifiedBy>
  <cp:revision>3</cp:revision>
  <cp:lastPrinted>2022-03-29T22:09:00Z</cp:lastPrinted>
  <dcterms:created xsi:type="dcterms:W3CDTF">2021-07-21T15:16:00Z</dcterms:created>
  <dcterms:modified xsi:type="dcterms:W3CDTF">2022-05-18T18:12:00Z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