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FC66" w14:textId="22E39252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64035CAC2574F9AA7BD38C7C2E2FC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0E95">
            <w:t>84</w:t>
          </w:r>
          <w:r w:rsidR="00585479">
            <w:t xml:space="preserve">, de </w:t>
          </w:r>
          <w:r w:rsidR="00024474">
            <w:t>31</w:t>
          </w:r>
          <w:r w:rsidR="00585479">
            <w:t xml:space="preserve"> de março de 2022</w:t>
          </w:r>
        </w:sdtContent>
      </w:sdt>
    </w:p>
    <w:p w14:paraId="4D89BA82" w14:textId="4763AE50" w:rsidR="00841BBF" w:rsidRPr="00585479" w:rsidRDefault="00BB6E16" w:rsidP="00585479">
      <w:pPr>
        <w:pStyle w:val="Ementa"/>
      </w:pPr>
      <w:r w:rsidRPr="00585479">
        <w:t>Dispõe sobre os registros de negociação e de distribuição pública de Certificados de Potencial Adicional de Construção – CEPAC</w:t>
      </w:r>
      <w:r w:rsidR="00F616DF">
        <w:t xml:space="preserve"> e revoga as </w:t>
      </w:r>
      <w:r w:rsidR="00F616DF">
        <w:rPr>
          <w:lang w:eastAsia="pt-BR"/>
        </w:rPr>
        <w:t>Instruções CVM nº 401, de 29 de dezembro de 2003 e nº 550, de 17 de julho de 2014</w:t>
      </w:r>
      <w:r w:rsidRPr="00585479">
        <w:t>.</w:t>
      </w:r>
    </w:p>
    <w:p w14:paraId="37C4E4D2" w14:textId="77170360" w:rsidR="006E1797" w:rsidRPr="00585479" w:rsidRDefault="006E1797" w:rsidP="00585479">
      <w:r w:rsidRPr="00585479">
        <w:t xml:space="preserve">O </w:t>
      </w:r>
      <w:r w:rsidR="00894689" w:rsidRPr="00585479">
        <w:rPr>
          <w:b/>
        </w:rPr>
        <w:t>PRESIDENTE DA COMISSÃO DE VALORES MOBILIÁRIOS – CVM</w:t>
      </w:r>
      <w:r w:rsidR="00894689" w:rsidRPr="00585479">
        <w:t xml:space="preserve"> torna público que o Colegiado, em reunião realizada em </w:t>
      </w:r>
      <w:r w:rsidR="009705AC">
        <w:t>30 de março de 2022</w:t>
      </w:r>
      <w:r w:rsidR="00894689">
        <w:t>, com fundamento no</w:t>
      </w:r>
      <w:r w:rsidR="00894689" w:rsidRPr="00585479">
        <w:t xml:space="preserve"> disposto nos </w:t>
      </w:r>
      <w:proofErr w:type="spellStart"/>
      <w:r w:rsidR="00894689" w:rsidRPr="00585479">
        <w:t>arts</w:t>
      </w:r>
      <w:proofErr w:type="spellEnd"/>
      <w:r w:rsidR="00894689" w:rsidRPr="00585479">
        <w:t xml:space="preserve">. </w:t>
      </w:r>
      <w:r w:rsidR="00BB6E16" w:rsidRPr="00585479">
        <w:rPr>
          <w:color w:val="000000"/>
        </w:rPr>
        <w:t xml:space="preserve">2º, § 3º, 19 e 21 da Lei nº 6.385, de 7 de dezembro de 1976, e nos </w:t>
      </w:r>
      <w:proofErr w:type="spellStart"/>
      <w:r w:rsidR="00BB6E16" w:rsidRPr="00585479">
        <w:rPr>
          <w:color w:val="000000"/>
        </w:rPr>
        <w:t>arts</w:t>
      </w:r>
      <w:proofErr w:type="spellEnd"/>
      <w:r w:rsidR="00BB6E16" w:rsidRPr="00585479">
        <w:rPr>
          <w:color w:val="000000"/>
        </w:rPr>
        <w:t>. 31, 32 e 34 da Lei nº 10.257, de 10 de janeiro de 2001</w:t>
      </w:r>
      <w:r w:rsidR="00894689" w:rsidRPr="00585479">
        <w:t xml:space="preserve">, </w:t>
      </w:r>
      <w:r w:rsidR="00FA29E1">
        <w:rPr>
          <w:b/>
        </w:rPr>
        <w:t>APROVOU</w:t>
      </w:r>
      <w:r w:rsidR="00894689" w:rsidRPr="00585479">
        <w:t xml:space="preserve"> a seguinte </w:t>
      </w:r>
      <w:r w:rsidR="00894689">
        <w:t>Resolução:</w:t>
      </w:r>
    </w:p>
    <w:p w14:paraId="178B0CBB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4C741D80" w14:textId="57E25BAD" w:rsidR="00ED1FB4" w:rsidRDefault="00ED1FB4" w:rsidP="00585479">
      <w:r w:rsidRPr="00ED1FB4">
        <w:t>Art. 1</w:t>
      </w:r>
      <w:proofErr w:type="gramStart"/>
      <w:r w:rsidRPr="00ED1FB4">
        <w:t xml:space="preserve">º  </w:t>
      </w:r>
      <w:r w:rsidR="001228B0">
        <w:t>A</w:t>
      </w:r>
      <w:proofErr w:type="gramEnd"/>
      <w:r w:rsidR="001228B0">
        <w:t xml:space="preserve"> presente Resolução dispõe sobre os registros de negociação e de distribuição pública de Certificados de Potencial Adicional de Construção – CEPAC</w:t>
      </w:r>
      <w:r w:rsidR="00C82C89">
        <w:t>.</w:t>
      </w:r>
    </w:p>
    <w:p w14:paraId="22E163CE" w14:textId="701CBCCF" w:rsidR="002074B7" w:rsidRDefault="002074B7" w:rsidP="00ED1FB4">
      <w:r>
        <w:t>Parágrafo único. Para efeitos desta Resolução, considera-se:</w:t>
      </w:r>
    </w:p>
    <w:p w14:paraId="7CF56399" w14:textId="77777777" w:rsidR="00F83EB4" w:rsidRDefault="00F83EB4" w:rsidP="00F83EB4">
      <w:r>
        <w:t>I – CEPAC: certificados de potencial adicional de construção emitidos por Municípios, no âmbito de operações urbanas consorciadas, na forma autorizada pela legislação aplicável;</w:t>
      </w:r>
    </w:p>
    <w:p w14:paraId="6CFADDF7" w14:textId="77777777" w:rsidR="00F83EB4" w:rsidRDefault="00F83EB4" w:rsidP="00F83EB4">
      <w:r>
        <w:t xml:space="preserve">II – </w:t>
      </w:r>
      <w:proofErr w:type="gramStart"/>
      <w:r>
        <w:t>intervenção</w:t>
      </w:r>
      <w:proofErr w:type="gramEnd"/>
      <w:r>
        <w:t>: conjunto de ações de natureza</w:t>
      </w:r>
      <w:r w:rsidRPr="007C24C5">
        <w:rPr>
          <w:color w:val="000000"/>
        </w:rPr>
        <w:t xml:space="preserve"> </w:t>
      </w:r>
      <w:r>
        <w:t>urbanística praticadas pelo Município por meio de obras públicas e desapropriações;</w:t>
      </w:r>
    </w:p>
    <w:p w14:paraId="6F223075" w14:textId="77777777" w:rsidR="00F83EB4" w:rsidRDefault="00F83EB4" w:rsidP="00F83EB4">
      <w:r>
        <w:t>III – operação urbana consorciada ou operação: conjunto de intervenções e medidas coordenadas pelo poder público municipal, com a participação dos proprietários, moradores, usuários permanentes e investidores privados, com o objetivo de alcançar, em uma área, transformações urbanísticas estruturais, melhorias sociais e a valorização ambiental; e</w:t>
      </w:r>
    </w:p>
    <w:p w14:paraId="0DA9EFB8" w14:textId="77777777" w:rsidR="00F83EB4" w:rsidRDefault="00F83EB4" w:rsidP="00F83EB4">
      <w:r>
        <w:t xml:space="preserve">IV – </w:t>
      </w:r>
      <w:proofErr w:type="gramStart"/>
      <w:r>
        <w:t>representante</w:t>
      </w:r>
      <w:proofErr w:type="gramEnd"/>
      <w:r>
        <w:t>: pessoa natural especificamente designada pelo Prefeito para representá-lo na prática de atos previstos nesta Resolução.</w:t>
      </w:r>
    </w:p>
    <w:p w14:paraId="1D9CA0DA" w14:textId="71FC72F2" w:rsidR="00C3231A" w:rsidRDefault="006E2484" w:rsidP="00C1691E">
      <w:pPr>
        <w:pStyle w:val="Captulo"/>
      </w:pPr>
      <w:r>
        <w:t xml:space="preserve">Capítulo II – </w:t>
      </w:r>
      <w:r w:rsidR="001228B0">
        <w:t>CEPAC</w:t>
      </w:r>
    </w:p>
    <w:p w14:paraId="0E63709D" w14:textId="26951A55" w:rsidR="001228B0" w:rsidRDefault="001228B0" w:rsidP="00585479">
      <w:r>
        <w:t>Art. 2</w:t>
      </w:r>
      <w:proofErr w:type="gramStart"/>
      <w:r>
        <w:t xml:space="preserve">º  </w:t>
      </w:r>
      <w:r w:rsidR="00D61F8D">
        <w:t>Quando</w:t>
      </w:r>
      <w:proofErr w:type="gramEnd"/>
      <w:r w:rsidR="00D61F8D">
        <w:t xml:space="preserve"> ofertados publicamente, os CEPAC s</w:t>
      </w:r>
      <w:r w:rsidR="00F616DF">
        <w:t xml:space="preserve">ão </w:t>
      </w:r>
      <w:r>
        <w:t>valores mobiliários</w:t>
      </w:r>
      <w:r w:rsidR="00D61F8D">
        <w:t xml:space="preserve"> </w:t>
      </w:r>
      <w:r>
        <w:t>sujeitos ao regime da Lei nº 6.385, de 7 de dezembro de 1976.</w:t>
      </w:r>
    </w:p>
    <w:p w14:paraId="17E3FF0B" w14:textId="6D495A2C" w:rsidR="001228B0" w:rsidRDefault="001228B0" w:rsidP="001228B0">
      <w:pPr>
        <w:rPr>
          <w:color w:val="000000"/>
        </w:rPr>
      </w:pPr>
      <w:r w:rsidRPr="00585479">
        <w:rPr>
          <w:color w:val="000000"/>
        </w:rPr>
        <w:lastRenderedPageBreak/>
        <w:t xml:space="preserve">Art. </w:t>
      </w:r>
      <w:r>
        <w:rPr>
          <w:color w:val="000000"/>
        </w:rPr>
        <w:t>3</w:t>
      </w:r>
      <w:proofErr w:type="gramStart"/>
      <w:r>
        <w:rPr>
          <w:color w:val="000000"/>
        </w:rPr>
        <w:t>º  Os</w:t>
      </w:r>
      <w:proofErr w:type="gramEnd"/>
      <w:r>
        <w:rPr>
          <w:color w:val="000000"/>
        </w:rPr>
        <w:t xml:space="preserve"> CEPAC </w:t>
      </w:r>
      <w:r w:rsidR="00F616DF">
        <w:rPr>
          <w:color w:val="000000"/>
        </w:rPr>
        <w:t xml:space="preserve">podem </w:t>
      </w:r>
      <w:r>
        <w:rPr>
          <w:color w:val="000000"/>
        </w:rPr>
        <w:t xml:space="preserve">ser utilizados, por seus detentores, no pagamento da </w:t>
      </w:r>
      <w:r>
        <w:t xml:space="preserve">área de construção que supere os padrões estabelecidos pela legislação de uso e ocupação do solo, até o limite fixado pela lei específica que aprovar a </w:t>
      </w:r>
      <w:r w:rsidR="000E5AC4">
        <w:t>operação urbana consorciada</w:t>
      </w:r>
      <w:r>
        <w:t>.</w:t>
      </w:r>
    </w:p>
    <w:p w14:paraId="18FF207C" w14:textId="76C1A6E9" w:rsidR="00A60936" w:rsidRPr="00585479" w:rsidRDefault="00480DEC" w:rsidP="00585479">
      <w:pPr>
        <w:pStyle w:val="Captulo"/>
      </w:pPr>
      <w:r>
        <w:t>Capítulo III –</w:t>
      </w:r>
      <w:r w:rsidRPr="00585479">
        <w:t xml:space="preserve"> </w:t>
      </w:r>
      <w:r w:rsidR="00A60936" w:rsidRPr="00585479">
        <w:t>REGISTRO DA OPERAÇÃO URBANA CONSORCIADA PARA NEGOCIAÇÂO DE CEPAC NO MERCADO DE VALORES MOBILIÁRIOS</w:t>
      </w:r>
    </w:p>
    <w:p w14:paraId="1AECDF34" w14:textId="76615E75" w:rsidR="00A60936" w:rsidRDefault="00A60936" w:rsidP="00585479">
      <w:r>
        <w:t>Art. 4</w:t>
      </w:r>
      <w:proofErr w:type="gramStart"/>
      <w:r>
        <w:t>º  Nenhum</w:t>
      </w:r>
      <w:proofErr w:type="gramEnd"/>
      <w:r>
        <w:t xml:space="preserve"> CEPAC pode ser ofertado no mercado sem prévio registro na CVM da </w:t>
      </w:r>
      <w:r w:rsidR="007A76F7">
        <w:t>operação</w:t>
      </w:r>
      <w:r>
        <w:t xml:space="preserve"> a que estiver vinculado.</w:t>
      </w:r>
    </w:p>
    <w:p w14:paraId="0C3B8950" w14:textId="71E3E31F" w:rsidR="00A60936" w:rsidRDefault="00A60936" w:rsidP="00585479">
      <w:pPr>
        <w:rPr>
          <w:color w:val="000000"/>
        </w:rPr>
      </w:pPr>
      <w:r>
        <w:t>Art. 5</w:t>
      </w:r>
      <w:proofErr w:type="gramStart"/>
      <w:r>
        <w:t>º  O</w:t>
      </w:r>
      <w:proofErr w:type="gramEnd"/>
      <w:r>
        <w:t xml:space="preserve"> pedido de registro da </w:t>
      </w:r>
      <w:r w:rsidR="007A76F7">
        <w:t>operação</w:t>
      </w:r>
      <w:r>
        <w:t xml:space="preserve"> </w:t>
      </w:r>
      <w:r w:rsidR="00F616DF">
        <w:t xml:space="preserve">deve ser </w:t>
      </w:r>
      <w:r>
        <w:t>formulado pelo Município emissor dos CEPAC e instruído com os seguintes documentos:</w:t>
      </w:r>
    </w:p>
    <w:p w14:paraId="630F771C" w14:textId="7659F204" w:rsidR="00A60936" w:rsidRDefault="00A60936" w:rsidP="00585479">
      <w:r>
        <w:t xml:space="preserve">I </w:t>
      </w:r>
      <w:r w:rsidR="007A76F7">
        <w:t>–</w:t>
      </w:r>
      <w:r>
        <w:t xml:space="preserve"> </w:t>
      </w:r>
      <w:proofErr w:type="gramStart"/>
      <w:r>
        <w:t>requerimento</w:t>
      </w:r>
      <w:proofErr w:type="gramEnd"/>
      <w:r>
        <w:t xml:space="preserve"> de registro da </w:t>
      </w:r>
      <w:r w:rsidR="007A76F7">
        <w:t>operação</w:t>
      </w:r>
      <w:r>
        <w:t xml:space="preserve">, assinado pelo Prefeito ou por </w:t>
      </w:r>
      <w:r w:rsidR="007A76F7">
        <w:t xml:space="preserve">seu </w:t>
      </w:r>
      <w:r>
        <w:t>representante;</w:t>
      </w:r>
    </w:p>
    <w:p w14:paraId="63595E16" w14:textId="540A6D50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 xml:space="preserve">II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plano</w:t>
      </w:r>
      <w:proofErr w:type="gramEnd"/>
      <w:r w:rsidRPr="00585479">
        <w:rPr>
          <w:color w:val="000000"/>
        </w:rPr>
        <w:t xml:space="preserve"> diretor aprovado no Município prevendo 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;</w:t>
      </w:r>
    </w:p>
    <w:p w14:paraId="767B67ED" w14:textId="28C952BE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 xml:space="preserve">III </w:t>
      </w:r>
      <w:r w:rsidR="007A76F7">
        <w:rPr>
          <w:color w:val="000000"/>
        </w:rPr>
        <w:t>–</w:t>
      </w:r>
      <w:r>
        <w:rPr>
          <w:color w:val="000000"/>
        </w:rPr>
        <w:t xml:space="preserve"> </w:t>
      </w:r>
      <w:r w:rsidR="00D61F8D">
        <w:rPr>
          <w:color w:val="000000"/>
        </w:rPr>
        <w:t>l</w:t>
      </w:r>
      <w:r>
        <w:rPr>
          <w:color w:val="000000"/>
        </w:rPr>
        <w:t>ei</w:t>
      </w:r>
      <w:r w:rsidRPr="00585479">
        <w:rPr>
          <w:color w:val="000000"/>
        </w:rPr>
        <w:t xml:space="preserve"> específica com aprovação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 xml:space="preserve"> e autorização para emissão de CEPAC;</w:t>
      </w:r>
    </w:p>
    <w:p w14:paraId="774EEB8D" w14:textId="4E77FFCA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 xml:space="preserve">IV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decreto</w:t>
      </w:r>
      <w:proofErr w:type="gramEnd"/>
      <w:r w:rsidRPr="00585479">
        <w:rPr>
          <w:color w:val="000000"/>
        </w:rPr>
        <w:t xml:space="preserve"> municipal específico deliberando a emissão dos CEPAC;</w:t>
      </w:r>
    </w:p>
    <w:p w14:paraId="29AF7530" w14:textId="5B8FE551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 xml:space="preserve">V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minuta</w:t>
      </w:r>
      <w:proofErr w:type="gramEnd"/>
      <w:r w:rsidRPr="00585479">
        <w:rPr>
          <w:color w:val="000000"/>
        </w:rPr>
        <w:t xml:space="preserve"> do prospecto, contendo os requisitos previstos nos </w:t>
      </w:r>
      <w:proofErr w:type="spellStart"/>
      <w:r>
        <w:rPr>
          <w:color w:val="000000"/>
        </w:rPr>
        <w:t>arts</w:t>
      </w:r>
      <w:proofErr w:type="spellEnd"/>
      <w:r w:rsidR="0037545E">
        <w:rPr>
          <w:color w:val="000000"/>
        </w:rPr>
        <w:t>.</w:t>
      </w:r>
      <w:r w:rsidRPr="00585479">
        <w:rPr>
          <w:color w:val="000000"/>
        </w:rPr>
        <w:t xml:space="preserve"> 10 e 11 desta </w:t>
      </w:r>
      <w:r w:rsidR="00F420AD">
        <w:rPr>
          <w:color w:val="000000"/>
        </w:rPr>
        <w:t>Resol</w:t>
      </w:r>
      <w:r>
        <w:rPr>
          <w:color w:val="000000"/>
        </w:rPr>
        <w:t>ução</w:t>
      </w:r>
      <w:r w:rsidRPr="00585479">
        <w:rPr>
          <w:color w:val="000000"/>
        </w:rPr>
        <w:t>;</w:t>
      </w:r>
    </w:p>
    <w:p w14:paraId="4B2F7ABE" w14:textId="3A5D3ED3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 xml:space="preserve">VI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contrato</w:t>
      </w:r>
      <w:proofErr w:type="gramEnd"/>
      <w:r w:rsidRPr="00585479">
        <w:rPr>
          <w:color w:val="000000"/>
        </w:rPr>
        <w:t xml:space="preserve"> de prestação de serviço de escrituração dos registros de detentores de CEPAC e de transferências de CEPAC;</w:t>
      </w:r>
      <w:r w:rsidR="00D61F8D">
        <w:rPr>
          <w:color w:val="000000"/>
        </w:rPr>
        <w:t xml:space="preserve"> e</w:t>
      </w:r>
    </w:p>
    <w:p w14:paraId="7784AFB9" w14:textId="77777777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>VII – comprovante de aceitação do registro de negociação de CEPAC por bolsa de valores ou por entidade do mercado de balcão organizado, quando for o caso.</w:t>
      </w:r>
    </w:p>
    <w:p w14:paraId="6276219D" w14:textId="5D3B1409" w:rsidR="00A60936" w:rsidRDefault="00A60936" w:rsidP="00585479">
      <w:pPr>
        <w:rPr>
          <w:iCs/>
        </w:rPr>
      </w:pPr>
      <w:r w:rsidRPr="00585479">
        <w:rPr>
          <w:color w:val="000000"/>
        </w:rPr>
        <w:t>§</w:t>
      </w:r>
      <w:r w:rsidR="0037545E">
        <w:rPr>
          <w:color w:val="000000"/>
        </w:rPr>
        <w:t xml:space="preserve"> </w:t>
      </w:r>
      <w:r w:rsidRPr="00585479">
        <w:rPr>
          <w:color w:val="000000"/>
        </w:rPr>
        <w:t>1</w:t>
      </w:r>
      <w:proofErr w:type="gramStart"/>
      <w:r w:rsidRPr="00585479">
        <w:rPr>
          <w:color w:val="000000"/>
        </w:rPr>
        <w:t xml:space="preserve">º  </w:t>
      </w:r>
      <w:r w:rsidR="00190717">
        <w:rPr>
          <w:color w:val="000000"/>
        </w:rPr>
        <w:t>O</w:t>
      </w:r>
      <w:proofErr w:type="gramEnd"/>
      <w:r w:rsidR="00190717">
        <w:rPr>
          <w:color w:val="000000"/>
        </w:rPr>
        <w:t xml:space="preserve"> prospecto da operação cujos certificados venham a ser negociados apenas em</w:t>
      </w:r>
      <w:r w:rsidRPr="00585479">
        <w:rPr>
          <w:color w:val="000000"/>
        </w:rPr>
        <w:t xml:space="preserve"> mercado secundário de balcão não organizado </w:t>
      </w:r>
      <w:r w:rsidR="00190717">
        <w:rPr>
          <w:color w:val="000000"/>
        </w:rPr>
        <w:t>deve conter em sua</w:t>
      </w:r>
      <w:r w:rsidRPr="00585479">
        <w:rPr>
          <w:color w:val="000000"/>
        </w:rPr>
        <w:t xml:space="preserve"> capa </w:t>
      </w:r>
      <w:r>
        <w:rPr>
          <w:color w:val="000000"/>
        </w:rPr>
        <w:t xml:space="preserve">a </w:t>
      </w:r>
      <w:r w:rsidRPr="00585479">
        <w:rPr>
          <w:color w:val="000000"/>
        </w:rPr>
        <w:t>seguinte observação:</w:t>
      </w:r>
      <w:r w:rsidR="006A3309">
        <w:rPr>
          <w:color w:val="000000"/>
        </w:rPr>
        <w:t xml:space="preserve"> </w:t>
      </w:r>
      <w:r>
        <w:rPr>
          <w:iCs/>
        </w:rPr>
        <w:t>“</w:t>
      </w:r>
      <w:r w:rsidRPr="00585479">
        <w:rPr>
          <w:b/>
        </w:rPr>
        <w:t xml:space="preserve">Os valores mobiliários objeto da presente oferta não serão negociados em </w:t>
      </w:r>
      <w:r w:rsidR="006A3309" w:rsidRPr="00C73D2B">
        <w:rPr>
          <w:b/>
          <w:iCs/>
        </w:rPr>
        <w:t xml:space="preserve">mercados organizados de </w:t>
      </w:r>
      <w:r w:rsidRPr="00585479">
        <w:rPr>
          <w:b/>
        </w:rPr>
        <w:t xml:space="preserve">bolsa </w:t>
      </w:r>
      <w:r w:rsidR="006A3309" w:rsidRPr="00585479">
        <w:rPr>
          <w:b/>
        </w:rPr>
        <w:t>ou</w:t>
      </w:r>
      <w:r w:rsidRPr="00585479">
        <w:rPr>
          <w:b/>
        </w:rPr>
        <w:t xml:space="preserve"> </w:t>
      </w:r>
      <w:r w:rsidR="006A3309" w:rsidRPr="00585479">
        <w:rPr>
          <w:b/>
        </w:rPr>
        <w:t xml:space="preserve">de </w:t>
      </w:r>
      <w:r w:rsidRPr="00585479">
        <w:rPr>
          <w:b/>
        </w:rPr>
        <w:t>balcão, não podendo ser assegurada a disponibilidade de informações sobre os preços praticados ou sobre os negócios realizados</w:t>
      </w:r>
      <w:r>
        <w:rPr>
          <w:iCs/>
        </w:rPr>
        <w:t>”</w:t>
      </w:r>
      <w:r w:rsidR="00A03AE3">
        <w:rPr>
          <w:iCs/>
        </w:rPr>
        <w:t>.</w:t>
      </w:r>
    </w:p>
    <w:p w14:paraId="68F46930" w14:textId="4937103B" w:rsidR="00A60936" w:rsidRPr="00585479" w:rsidRDefault="00A60936" w:rsidP="00585479">
      <w:pPr>
        <w:rPr>
          <w:color w:val="000000"/>
        </w:rPr>
      </w:pPr>
      <w:r w:rsidRPr="00585479">
        <w:rPr>
          <w:color w:val="000000"/>
        </w:rPr>
        <w:t>§</w:t>
      </w:r>
      <w:r w:rsidR="0037545E">
        <w:rPr>
          <w:color w:val="000000"/>
        </w:rPr>
        <w:t xml:space="preserve"> </w:t>
      </w:r>
      <w:r w:rsidRPr="00585479">
        <w:rPr>
          <w:color w:val="000000"/>
        </w:rPr>
        <w:t>2</w:t>
      </w:r>
      <w:proofErr w:type="gramStart"/>
      <w:r w:rsidRPr="00585479">
        <w:rPr>
          <w:color w:val="000000"/>
        </w:rPr>
        <w:t>º  O</w:t>
      </w:r>
      <w:proofErr w:type="gramEnd"/>
      <w:r w:rsidRPr="00585479">
        <w:rPr>
          <w:color w:val="000000"/>
        </w:rPr>
        <w:t xml:space="preserve"> registro de negociação de CEPAC </w:t>
      </w:r>
      <w:r w:rsidR="00190717">
        <w:rPr>
          <w:color w:val="000000"/>
        </w:rPr>
        <w:t>é</w:t>
      </w:r>
      <w:r w:rsidR="00190717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válido até seu cancelamento, nos termos do </w:t>
      </w:r>
      <w:r w:rsidR="0037545E">
        <w:rPr>
          <w:color w:val="000000"/>
        </w:rPr>
        <w:t>art.</w:t>
      </w:r>
      <w:r w:rsidR="0037545E" w:rsidRPr="00585479">
        <w:rPr>
          <w:color w:val="000000"/>
        </w:rPr>
        <w:t xml:space="preserve"> </w:t>
      </w:r>
      <w:r w:rsidRPr="00585479">
        <w:rPr>
          <w:color w:val="000000"/>
        </w:rPr>
        <w:t>8º.</w:t>
      </w:r>
    </w:p>
    <w:p w14:paraId="03743886" w14:textId="3C6CD60F" w:rsidR="00A60936" w:rsidRDefault="00A60936" w:rsidP="00585479">
      <w:r>
        <w:t>Art. 6</w:t>
      </w:r>
      <w:proofErr w:type="gramStart"/>
      <w:r>
        <w:t>º  Após</w:t>
      </w:r>
      <w:proofErr w:type="gramEnd"/>
      <w:r>
        <w:t xml:space="preserve"> o deferimento do registro da </w:t>
      </w:r>
      <w:r w:rsidR="007A76F7">
        <w:t>operação</w:t>
      </w:r>
      <w:r>
        <w:t>, toda e qualquer comunicação</w:t>
      </w:r>
      <w:r w:rsidR="00CF3230">
        <w:t xml:space="preserve"> à CVM, aos detentores de CEPAC, aos investidores e, se for o caso, às entidades administradoras de mercados organizados em que os CEPAC estiverem admitidos à negociação</w:t>
      </w:r>
      <w:r>
        <w:t xml:space="preserve"> deve mencionar o número do registro concedido pela CVM.</w:t>
      </w:r>
    </w:p>
    <w:p w14:paraId="1937780A" w14:textId="365CE141" w:rsidR="00A60936" w:rsidRPr="00A60936" w:rsidRDefault="00480DEC" w:rsidP="00585479">
      <w:pPr>
        <w:pStyle w:val="Captulo"/>
      </w:pPr>
      <w:r>
        <w:lastRenderedPageBreak/>
        <w:t xml:space="preserve">Capítulo IV – </w:t>
      </w:r>
      <w:r w:rsidR="00A60936">
        <w:t>INFORMAÇÕES PERIÓDICAS E EVENTUAIS</w:t>
      </w:r>
    </w:p>
    <w:p w14:paraId="17C2A2A2" w14:textId="0ED2EB04" w:rsidR="00480DEC" w:rsidRDefault="00480DEC" w:rsidP="00585479">
      <w:bookmarkStart w:id="0" w:name="_Ref58147951"/>
      <w:r>
        <w:t>Art. 7</w:t>
      </w:r>
      <w:proofErr w:type="gramStart"/>
      <w:r>
        <w:t>º  Para</w:t>
      </w:r>
      <w:proofErr w:type="gramEnd"/>
      <w:r>
        <w:t xml:space="preserve"> a atualização das informações durante o período de validade do registro da </w:t>
      </w:r>
      <w:r w:rsidR="007A76F7">
        <w:t>operação</w:t>
      </w:r>
      <w:r>
        <w:t xml:space="preserve">, o Município deve, </w:t>
      </w:r>
      <w:r w:rsidR="00C211AA">
        <w:t xml:space="preserve">por meio </w:t>
      </w:r>
      <w:r>
        <w:t xml:space="preserve">do Prefeito ou de seu </w:t>
      </w:r>
      <w:r w:rsidR="0037545E">
        <w:t>representante</w:t>
      </w:r>
      <w:r>
        <w:t>:</w:t>
      </w:r>
      <w:bookmarkEnd w:id="0"/>
    </w:p>
    <w:p w14:paraId="20E5DE25" w14:textId="1E51F239" w:rsidR="00480DEC" w:rsidRDefault="00480DEC" w:rsidP="00585479">
      <w:r>
        <w:t xml:space="preserve">I – </w:t>
      </w:r>
      <w:proofErr w:type="gramStart"/>
      <w:r>
        <w:t>enviar</w:t>
      </w:r>
      <w:proofErr w:type="gramEnd"/>
      <w:r>
        <w:t xml:space="preserve"> à CVM, trimestralmente, até </w:t>
      </w:r>
      <w:r w:rsidR="00190717">
        <w:t>45 (</w:t>
      </w:r>
      <w:r>
        <w:t>quarenta e cinco</w:t>
      </w:r>
      <w:r w:rsidR="00190717">
        <w:t>)</w:t>
      </w:r>
      <w:r>
        <w:t xml:space="preserve"> dias após o término de cada trimestre do ano civil, as informações periódicas a seguir:</w:t>
      </w:r>
    </w:p>
    <w:p w14:paraId="54BE7681" w14:textId="3D44FEFF" w:rsidR="00480DEC" w:rsidRDefault="00480DEC" w:rsidP="00585479">
      <w:pPr>
        <w:rPr>
          <w:color w:val="000000"/>
        </w:rPr>
      </w:pPr>
      <w:r>
        <w:rPr>
          <w:color w:val="000000"/>
        </w:rPr>
        <w:t xml:space="preserve">a) relatório informando o andamento da </w:t>
      </w:r>
      <w:r w:rsidR="007A76F7">
        <w:rPr>
          <w:color w:val="000000"/>
        </w:rPr>
        <w:t>operação</w:t>
      </w:r>
      <w:r>
        <w:rPr>
          <w:color w:val="000000"/>
        </w:rPr>
        <w:t xml:space="preserve"> e das respectivas intervenções, a situação atualizada das áreas em que os CEPAC ainda podem ser utilizados, o prazo estimado para o seu término, os custos já incorridos, a quantidade de CEPAC distribuídos pública e privadamente e quaisquer outros elementos que, direta ou indiretamente, afetem a execução dos projetos;</w:t>
      </w:r>
    </w:p>
    <w:p w14:paraId="29D50BCE" w14:textId="7A631057" w:rsidR="00480DEC" w:rsidRPr="00585479" w:rsidRDefault="00480DEC" w:rsidP="00585479">
      <w:pPr>
        <w:rPr>
          <w:color w:val="000000"/>
        </w:rPr>
      </w:pPr>
      <w:r w:rsidRPr="00585479">
        <w:rPr>
          <w:color w:val="000000"/>
        </w:rPr>
        <w:t xml:space="preserve">b) relatório da instituição a que se refere o </w:t>
      </w:r>
      <w:r w:rsidR="0037545E">
        <w:rPr>
          <w:color w:val="000000"/>
        </w:rPr>
        <w:t>art.</w:t>
      </w:r>
      <w:r w:rsidR="0037545E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9º desta </w:t>
      </w:r>
      <w:r w:rsidR="00F420AD">
        <w:rPr>
          <w:color w:val="000000"/>
        </w:rPr>
        <w:t>Resol</w:t>
      </w:r>
      <w:r>
        <w:rPr>
          <w:color w:val="000000"/>
        </w:rPr>
        <w:t>ução</w:t>
      </w:r>
      <w:r w:rsidRPr="00585479">
        <w:rPr>
          <w:color w:val="000000"/>
        </w:rPr>
        <w:t xml:space="preserve">, contemplando os fatos relativos à aplicação dos recursos e ao andamento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;</w:t>
      </w:r>
    </w:p>
    <w:p w14:paraId="6D32A89D" w14:textId="4576D77C" w:rsidR="00480DEC" w:rsidRPr="00585479" w:rsidRDefault="00480DEC" w:rsidP="00585479">
      <w:pPr>
        <w:rPr>
          <w:color w:val="000000"/>
        </w:rPr>
      </w:pPr>
      <w:r w:rsidRPr="00585479">
        <w:rPr>
          <w:color w:val="000000"/>
        </w:rPr>
        <w:t>c) discriminação da quantidade de CEPAC utilizados, a área disponível para a utilização dos CEPAC e o estoque remanescente desses certificados;</w:t>
      </w:r>
    </w:p>
    <w:p w14:paraId="4B7B7383" w14:textId="50DD90CA" w:rsidR="00480DEC" w:rsidRDefault="00480DEC" w:rsidP="00585479">
      <w:r>
        <w:t xml:space="preserve">II </w:t>
      </w:r>
      <w:r w:rsidR="007A76F7">
        <w:t>–</w:t>
      </w:r>
      <w:r>
        <w:t xml:space="preserve"> </w:t>
      </w:r>
      <w:proofErr w:type="gramStart"/>
      <w:r>
        <w:t>comunicar</w:t>
      </w:r>
      <w:proofErr w:type="gramEnd"/>
      <w:r>
        <w:t xml:space="preserve"> imediatamente à CVM e ao mercado a existência de estudos, projetos de lei ou quaisquer iniciativas que possam modificar o plano diretor ou aspectos da </w:t>
      </w:r>
      <w:r w:rsidR="007A76F7">
        <w:t>operação</w:t>
      </w:r>
      <w:r>
        <w:t>;</w:t>
      </w:r>
    </w:p>
    <w:p w14:paraId="61C54E8F" w14:textId="4D1419B0" w:rsidR="00CF3230" w:rsidRDefault="00480DEC" w:rsidP="00CF3230">
      <w:pPr>
        <w:rPr>
          <w:color w:val="000000"/>
        </w:rPr>
      </w:pPr>
      <w:bookmarkStart w:id="1" w:name="_Ref58149646"/>
      <w:r>
        <w:rPr>
          <w:color w:val="000000"/>
        </w:rPr>
        <w:t xml:space="preserve">III </w:t>
      </w:r>
      <w:r w:rsidR="007A76F7">
        <w:rPr>
          <w:color w:val="000000"/>
        </w:rPr>
        <w:t>–</w:t>
      </w:r>
      <w:r>
        <w:rPr>
          <w:color w:val="000000"/>
        </w:rPr>
        <w:t xml:space="preserve"> divulgar, ampla e imediatamente, qualquer ato ou fato relativo às operações dos CEPAC </w:t>
      </w:r>
      <w:r w:rsidR="000100F1">
        <w:rPr>
          <w:color w:val="000000"/>
        </w:rPr>
        <w:t>que possa</w:t>
      </w:r>
      <w:r>
        <w:rPr>
          <w:color w:val="000000"/>
        </w:rPr>
        <w:t xml:space="preserve">, direta ou indiretamente, </w:t>
      </w:r>
      <w:r w:rsidR="00CF3230">
        <w:rPr>
          <w:color w:val="000000"/>
        </w:rPr>
        <w:t>influir de modo ponderável:</w:t>
      </w:r>
    </w:p>
    <w:p w14:paraId="4B4168C4" w14:textId="4DF1B065" w:rsidR="00CF3230" w:rsidRDefault="00D61F8D" w:rsidP="00585479">
      <w:pPr>
        <w:rPr>
          <w:color w:val="000000"/>
        </w:rPr>
      </w:pPr>
      <w:r>
        <w:rPr>
          <w:color w:val="000000"/>
        </w:rPr>
        <w:t>a)</w:t>
      </w:r>
      <w:r w:rsidR="00CF3230">
        <w:rPr>
          <w:color w:val="000000"/>
        </w:rPr>
        <w:t xml:space="preserve"> na cotação</w:t>
      </w:r>
      <w:r w:rsidR="00480DEC">
        <w:rPr>
          <w:color w:val="000000"/>
        </w:rPr>
        <w:t xml:space="preserve"> dos CEPAC</w:t>
      </w:r>
      <w:r w:rsidR="00CF3230">
        <w:rPr>
          <w:color w:val="000000"/>
        </w:rPr>
        <w:t xml:space="preserve"> ou outros valores mobiliários a ele referenciados;</w:t>
      </w:r>
    </w:p>
    <w:p w14:paraId="2670EF33" w14:textId="1D264F7B" w:rsidR="00CF3230" w:rsidRDefault="00D61F8D" w:rsidP="00CF3230">
      <w:pPr>
        <w:rPr>
          <w:color w:val="000000"/>
        </w:rPr>
      </w:pPr>
      <w:r>
        <w:rPr>
          <w:color w:val="000000"/>
        </w:rPr>
        <w:t>b)</w:t>
      </w:r>
      <w:r w:rsidR="00CF3230">
        <w:rPr>
          <w:color w:val="000000"/>
        </w:rPr>
        <w:t xml:space="preserve"> na decisão dos investidores de comprar, vender ou manter os CEPAC ou outros </w:t>
      </w:r>
      <w:r w:rsidR="00480DEC">
        <w:rPr>
          <w:color w:val="000000"/>
        </w:rPr>
        <w:t>valores mobiliários</w:t>
      </w:r>
      <w:bookmarkEnd w:id="1"/>
      <w:r w:rsidR="00CF3230">
        <w:rPr>
          <w:color w:val="000000"/>
        </w:rPr>
        <w:t xml:space="preserve"> a ele referenciados; ou</w:t>
      </w:r>
    </w:p>
    <w:p w14:paraId="5A0B58C2" w14:textId="68571A24" w:rsidR="00480DEC" w:rsidRDefault="00D61F8D" w:rsidP="00CF3230">
      <w:pPr>
        <w:rPr>
          <w:color w:val="000000"/>
        </w:rPr>
      </w:pPr>
      <w:r>
        <w:rPr>
          <w:color w:val="000000"/>
        </w:rPr>
        <w:t>c)</w:t>
      </w:r>
      <w:r w:rsidR="00CF3230">
        <w:rPr>
          <w:color w:val="000000"/>
        </w:rPr>
        <w:t xml:space="preserve"> na decisão dos investidores de exercer quaisquer direitos inerentes à condição de titular de tais valores mobiliários ou outros valores mobiliários a ele referenciados</w:t>
      </w:r>
      <w:r w:rsidR="00480DEC">
        <w:rPr>
          <w:color w:val="000000"/>
        </w:rPr>
        <w:t>.</w:t>
      </w:r>
    </w:p>
    <w:p w14:paraId="0058E119" w14:textId="3FEE8C97" w:rsidR="00480DEC" w:rsidRDefault="00480DEC" w:rsidP="00585479">
      <w:r>
        <w:t xml:space="preserve">Parágrafo único.  O Prefeito deve atribuir a algum órgão da Prefeitura a responsabilidade pela análise e acompanhamento de todos os aspectos da </w:t>
      </w:r>
      <w:r w:rsidR="00CF3230">
        <w:t>operação</w:t>
      </w:r>
      <w:r>
        <w:t xml:space="preserve"> e pelo atendimento e prestação de esclarecimentos técnicos às instituições contratadas na forma dos </w:t>
      </w:r>
      <w:proofErr w:type="spellStart"/>
      <w:r w:rsidR="0037545E">
        <w:t>arts</w:t>
      </w:r>
      <w:proofErr w:type="spellEnd"/>
      <w:r w:rsidR="0037545E">
        <w:t xml:space="preserve">. </w:t>
      </w:r>
      <w:r>
        <w:t xml:space="preserve">9º e 18, à CVM, aos detentores de CEPAC, aos investidores e, se for o caso, às </w:t>
      </w:r>
      <w:r w:rsidR="00CF3230">
        <w:t xml:space="preserve">entidades administradoras de mercados organizados </w:t>
      </w:r>
      <w:r>
        <w:t>em que estiverem admitidos à negociação.</w:t>
      </w:r>
    </w:p>
    <w:p w14:paraId="1FEAD112" w14:textId="3D945ABE" w:rsidR="001228B0" w:rsidRDefault="00480DEC" w:rsidP="00585479">
      <w:pPr>
        <w:pStyle w:val="Captulo"/>
      </w:pPr>
      <w:r>
        <w:lastRenderedPageBreak/>
        <w:t xml:space="preserve">Capítulo V </w:t>
      </w:r>
      <w:r w:rsidR="007A76F7">
        <w:t>–</w:t>
      </w:r>
      <w:r>
        <w:t xml:space="preserve"> CANCELAMENTO DO REGISTRO DE OPERAÇÃO</w:t>
      </w:r>
    </w:p>
    <w:p w14:paraId="320D1E8E" w14:textId="1EF65EBB" w:rsidR="00480DEC" w:rsidRDefault="00480DEC" w:rsidP="00585479">
      <w:bookmarkStart w:id="2" w:name="_Ref58232756"/>
      <w:bookmarkStart w:id="3" w:name="_Ref58147502"/>
      <w:r>
        <w:t>Art. 8</w:t>
      </w:r>
      <w:proofErr w:type="gramStart"/>
      <w:r>
        <w:t>º  O</w:t>
      </w:r>
      <w:proofErr w:type="gramEnd"/>
      <w:r>
        <w:t xml:space="preserve"> registro de </w:t>
      </w:r>
      <w:r w:rsidR="007A76F7">
        <w:t>operação</w:t>
      </w:r>
      <w:r>
        <w:t xml:space="preserve"> </w:t>
      </w:r>
      <w:r w:rsidR="00D61F8D">
        <w:t>é</w:t>
      </w:r>
      <w:r>
        <w:t xml:space="preserve"> cancelado mediante requerimento da Prefeitura à CVM.</w:t>
      </w:r>
      <w:bookmarkEnd w:id="2"/>
    </w:p>
    <w:p w14:paraId="3C5A0793" w14:textId="5A8101D0" w:rsidR="00480DEC" w:rsidRDefault="00480DEC" w:rsidP="00585479">
      <w:r>
        <w:t>§</w:t>
      </w:r>
      <w:r w:rsidR="0037545E">
        <w:t xml:space="preserve"> </w:t>
      </w:r>
      <w:r>
        <w:t>1</w:t>
      </w:r>
      <w:proofErr w:type="gramStart"/>
      <w:r>
        <w:t>º  O</w:t>
      </w:r>
      <w:proofErr w:type="gramEnd"/>
      <w:r>
        <w:t xml:space="preserve"> cancelamento do registro de </w:t>
      </w:r>
      <w:r w:rsidR="007A76F7">
        <w:t>operação</w:t>
      </w:r>
      <w:r>
        <w:t xml:space="preserve"> não pode ocorrer em prazo inferior a um ano após o seu término.</w:t>
      </w:r>
      <w:bookmarkEnd w:id="3"/>
    </w:p>
    <w:p w14:paraId="64E17202" w14:textId="4526C8FD" w:rsidR="00480DEC" w:rsidRPr="00585479" w:rsidRDefault="00480DEC" w:rsidP="00585479">
      <w:pPr>
        <w:rPr>
          <w:color w:val="000000"/>
        </w:rPr>
      </w:pPr>
      <w:r w:rsidRPr="00585479">
        <w:rPr>
          <w:color w:val="000000"/>
        </w:rPr>
        <w:t>§</w:t>
      </w:r>
      <w:r w:rsidR="0037545E">
        <w:rPr>
          <w:color w:val="000000"/>
        </w:rPr>
        <w:t xml:space="preserve"> </w:t>
      </w:r>
      <w:r w:rsidRPr="00585479">
        <w:rPr>
          <w:color w:val="000000"/>
        </w:rPr>
        <w:t>2</w:t>
      </w:r>
      <w:proofErr w:type="gramStart"/>
      <w:r w:rsidRPr="00585479">
        <w:rPr>
          <w:color w:val="000000"/>
        </w:rPr>
        <w:t>º  O</w:t>
      </w:r>
      <w:proofErr w:type="gramEnd"/>
      <w:r w:rsidRPr="00585479">
        <w:rPr>
          <w:color w:val="000000"/>
        </w:rPr>
        <w:t xml:space="preserve"> término da </w:t>
      </w:r>
      <w:r w:rsidR="007A76F7">
        <w:rPr>
          <w:color w:val="000000"/>
        </w:rPr>
        <w:t>operação</w:t>
      </w:r>
      <w:r>
        <w:rPr>
          <w:color w:val="000000"/>
        </w:rPr>
        <w:t xml:space="preserve"> ocorre</w:t>
      </w:r>
      <w:r w:rsidRPr="00585479">
        <w:rPr>
          <w:color w:val="000000"/>
        </w:rPr>
        <w:t xml:space="preserve"> quando concluídas todas as intervenções previstas.</w:t>
      </w:r>
    </w:p>
    <w:p w14:paraId="37DFAE3D" w14:textId="47DDAA8D" w:rsidR="00480DEC" w:rsidRPr="00585479" w:rsidRDefault="00480DEC" w:rsidP="00585479">
      <w:pPr>
        <w:rPr>
          <w:color w:val="000000"/>
        </w:rPr>
      </w:pPr>
      <w:r w:rsidRPr="00585479">
        <w:rPr>
          <w:color w:val="000000"/>
        </w:rPr>
        <w:t>§</w:t>
      </w:r>
      <w:r w:rsidR="0037545E">
        <w:rPr>
          <w:color w:val="000000"/>
        </w:rPr>
        <w:t xml:space="preserve"> </w:t>
      </w:r>
      <w:r w:rsidRPr="00585479">
        <w:rPr>
          <w:color w:val="000000"/>
        </w:rPr>
        <w:t>3</w:t>
      </w:r>
      <w:proofErr w:type="gramStart"/>
      <w:r w:rsidRPr="00585479">
        <w:rPr>
          <w:color w:val="000000"/>
        </w:rPr>
        <w:t>º  A</w:t>
      </w:r>
      <w:proofErr w:type="gramEnd"/>
      <w:r w:rsidRPr="00585479">
        <w:rPr>
          <w:color w:val="000000"/>
        </w:rPr>
        <w:t xml:space="preserve"> Prefeitura </w:t>
      </w:r>
      <w:r>
        <w:rPr>
          <w:color w:val="000000"/>
        </w:rPr>
        <w:t>deve</w:t>
      </w:r>
      <w:r w:rsidRPr="00585479">
        <w:rPr>
          <w:color w:val="000000"/>
        </w:rPr>
        <w:t xml:space="preserve"> divulgar publicamente o término </w:t>
      </w:r>
      <w:r w:rsidR="007A76F7">
        <w:rPr>
          <w:color w:val="000000"/>
        </w:rPr>
        <w:t>da operação</w:t>
      </w:r>
      <w:r w:rsidRPr="00585479">
        <w:rPr>
          <w:color w:val="000000"/>
        </w:rPr>
        <w:t xml:space="preserve"> e o cancelamento do respectivo registro, inclusive, se for o caso, </w:t>
      </w:r>
      <w:r w:rsidR="00D61F8D">
        <w:rPr>
          <w:color w:val="000000"/>
        </w:rPr>
        <w:t>por meio</w:t>
      </w:r>
      <w:r w:rsidR="00D61F8D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de comunicado às </w:t>
      </w:r>
      <w:r w:rsidR="00C211AA">
        <w:rPr>
          <w:color w:val="000000"/>
        </w:rPr>
        <w:t>entidades administradoras dos mercados organizados</w:t>
      </w:r>
      <w:r w:rsidR="00C211AA" w:rsidRPr="00585479">
        <w:rPr>
          <w:color w:val="000000"/>
        </w:rPr>
        <w:t xml:space="preserve"> de valores </w:t>
      </w:r>
      <w:r w:rsidR="00C211AA">
        <w:rPr>
          <w:color w:val="000000"/>
        </w:rPr>
        <w:t>mobiliários em que</w:t>
      </w:r>
      <w:r>
        <w:rPr>
          <w:color w:val="000000"/>
        </w:rPr>
        <w:t xml:space="preserve"> </w:t>
      </w:r>
      <w:r w:rsidRPr="00585479">
        <w:rPr>
          <w:color w:val="000000"/>
        </w:rPr>
        <w:t>os CEPAC estejam admitidos à negociação.</w:t>
      </w:r>
    </w:p>
    <w:p w14:paraId="3EB53445" w14:textId="53F743FB" w:rsidR="00480DEC" w:rsidRDefault="00C5447C" w:rsidP="00585479">
      <w:pPr>
        <w:pStyle w:val="Captulo"/>
      </w:pPr>
      <w:r>
        <w:t xml:space="preserve">Capítulo VI </w:t>
      </w:r>
      <w:r w:rsidR="007A76F7">
        <w:t>–</w:t>
      </w:r>
      <w:r>
        <w:t xml:space="preserve"> FISCALIZAÇÃO DA APLICAÇÃO DOS RECURSOS</w:t>
      </w:r>
    </w:p>
    <w:p w14:paraId="6E4FBA8E" w14:textId="3D7EB43A" w:rsidR="00CF3230" w:rsidRDefault="00C5447C" w:rsidP="00597C08">
      <w:bookmarkStart w:id="4" w:name="_Ref58147536"/>
      <w:r w:rsidRPr="00585479">
        <w:t>Art. 9</w:t>
      </w:r>
      <w:proofErr w:type="gramStart"/>
      <w:r w:rsidRPr="00585479">
        <w:t>º  O</w:t>
      </w:r>
      <w:proofErr w:type="gramEnd"/>
      <w:r w:rsidRPr="00585479">
        <w:t xml:space="preserve"> Município </w:t>
      </w:r>
      <w:r>
        <w:t>deve</w:t>
      </w:r>
      <w:r w:rsidRPr="00585479">
        <w:t xml:space="preserve"> contratar instituição integrante do sistema de distribuição, que não </w:t>
      </w:r>
      <w:r>
        <w:t>pode</w:t>
      </w:r>
      <w:r w:rsidRPr="00585479">
        <w:t xml:space="preserve"> ser a instituição intermediária prevista no </w:t>
      </w:r>
      <w:r w:rsidR="0037545E">
        <w:t xml:space="preserve">art. </w:t>
      </w:r>
      <w:r>
        <w:t>1</w:t>
      </w:r>
      <w:r w:rsidR="00F420AD">
        <w:t>9</w:t>
      </w:r>
      <w:r w:rsidRPr="00585479">
        <w:t>, para</w:t>
      </w:r>
      <w:r w:rsidR="00CF3230">
        <w:t>:</w:t>
      </w:r>
    </w:p>
    <w:p w14:paraId="336B13F5" w14:textId="4237A554" w:rsidR="00CF3230" w:rsidRDefault="00CF3230" w:rsidP="00597C08">
      <w:r>
        <w:t>I –</w:t>
      </w:r>
      <w:r w:rsidR="00C5447C" w:rsidRPr="00585479">
        <w:t xml:space="preserve"> </w:t>
      </w:r>
      <w:proofErr w:type="gramStart"/>
      <w:r w:rsidR="00C5447C" w:rsidRPr="00585479">
        <w:t>exercer</w:t>
      </w:r>
      <w:proofErr w:type="gramEnd"/>
      <w:r w:rsidR="00C5447C" w:rsidRPr="00585479">
        <w:t xml:space="preserve"> a função de fiscalizar o emprego dos recursos obtidos com a distribuição pública de CEPAC nas intervenções das operações urbanas consorciadas</w:t>
      </w:r>
      <w:r>
        <w:t>; e</w:t>
      </w:r>
    </w:p>
    <w:p w14:paraId="4900161D" w14:textId="5193121B" w:rsidR="00C5447C" w:rsidRPr="00585479" w:rsidRDefault="00CF3230" w:rsidP="00585479">
      <w:r>
        <w:t>II –</w:t>
      </w:r>
      <w:r w:rsidRPr="00585479">
        <w:t xml:space="preserve"> </w:t>
      </w:r>
      <w:proofErr w:type="gramStart"/>
      <w:r w:rsidR="00C5447C" w:rsidRPr="00585479">
        <w:t>acompanhar</w:t>
      </w:r>
      <w:proofErr w:type="gramEnd"/>
      <w:r w:rsidR="00C5447C" w:rsidRPr="00585479">
        <w:t xml:space="preserve"> o andamento das referidas intervenções e assegurar a suficiência e veracidade das informações que serão periodicamente prestadas pelo Município ao mercado.</w:t>
      </w:r>
      <w:bookmarkEnd w:id="4"/>
    </w:p>
    <w:p w14:paraId="235D230A" w14:textId="0FEDB207" w:rsidR="00C5447C" w:rsidRPr="00585479" w:rsidRDefault="00C5447C" w:rsidP="00585479">
      <w:r w:rsidRPr="00585479">
        <w:t>§</w:t>
      </w:r>
      <w:r w:rsidR="0037545E">
        <w:t xml:space="preserve"> </w:t>
      </w:r>
      <w:r w:rsidRPr="00585479">
        <w:t>1</w:t>
      </w:r>
      <w:proofErr w:type="gramStart"/>
      <w:r w:rsidRPr="00585479">
        <w:t>º  A</w:t>
      </w:r>
      <w:proofErr w:type="gramEnd"/>
      <w:r w:rsidRPr="00585479">
        <w:t xml:space="preserve"> instituição referida no </w:t>
      </w:r>
      <w:r w:rsidRPr="00585479">
        <w:rPr>
          <w:b/>
        </w:rPr>
        <w:t>caput</w:t>
      </w:r>
      <w:r w:rsidRPr="00585479">
        <w:t xml:space="preserve"> deste artigo </w:t>
      </w:r>
      <w:r>
        <w:t>deve</w:t>
      </w:r>
      <w:r w:rsidRPr="00585479">
        <w:t xml:space="preserve"> manter departamento técnico habilitado a prestar serviços de análise e acompanhamento dos projetos urbanos a que se refere a presente </w:t>
      </w:r>
      <w:r w:rsidR="00F420AD">
        <w:t>Resolu</w:t>
      </w:r>
      <w:r>
        <w:t>ção</w:t>
      </w:r>
      <w:r w:rsidRPr="00585479">
        <w:t>, ou contratar tais serviços externamente.</w:t>
      </w:r>
    </w:p>
    <w:p w14:paraId="30C81816" w14:textId="48E42D77" w:rsidR="00480DEC" w:rsidRPr="00585479" w:rsidRDefault="00C5447C" w:rsidP="00585479">
      <w:r w:rsidRPr="00585479">
        <w:t>§</w:t>
      </w:r>
      <w:r w:rsidR="0037545E">
        <w:t xml:space="preserve"> </w:t>
      </w:r>
      <w:r w:rsidRPr="00585479">
        <w:t>2</w:t>
      </w:r>
      <w:proofErr w:type="gramStart"/>
      <w:r w:rsidRPr="00585479">
        <w:t>º  Os</w:t>
      </w:r>
      <w:proofErr w:type="gramEnd"/>
      <w:r w:rsidRPr="00585479">
        <w:t xml:space="preserve"> serviços, se contratados externamente, </w:t>
      </w:r>
      <w:r w:rsidR="00C211AA">
        <w:t>devem</w:t>
      </w:r>
      <w:r w:rsidR="00C211AA" w:rsidRPr="00585479">
        <w:t xml:space="preserve"> </w:t>
      </w:r>
      <w:r w:rsidRPr="00585479">
        <w:t xml:space="preserve">ser prestados por empresa devidamente registrada no Conselho Regional de Engenharia e Arquitetura – CREA, com experiência em </w:t>
      </w:r>
      <w:r>
        <w:t xml:space="preserve">serviços de análise e acompanhamento dos projetos urbanos a que se refere a presente </w:t>
      </w:r>
      <w:r w:rsidR="00F420AD">
        <w:t>Resolu</w:t>
      </w:r>
      <w:r>
        <w:t>ção.</w:t>
      </w:r>
    </w:p>
    <w:p w14:paraId="4474E4E3" w14:textId="74B117A7" w:rsidR="00480DEC" w:rsidRPr="00585479" w:rsidRDefault="00597C08" w:rsidP="00585479">
      <w:pPr>
        <w:pStyle w:val="Captulo"/>
      </w:pPr>
      <w:r>
        <w:t xml:space="preserve">Capítulo VII </w:t>
      </w:r>
      <w:r w:rsidR="007A76F7">
        <w:t>–</w:t>
      </w:r>
      <w:r w:rsidRPr="00585479">
        <w:t xml:space="preserve"> PROSPECTO</w:t>
      </w:r>
    </w:p>
    <w:p w14:paraId="0FAED5F1" w14:textId="1996F3EE" w:rsidR="00597C08" w:rsidRDefault="00597C08" w:rsidP="00585479">
      <w:bookmarkStart w:id="5" w:name="_Ref58149151"/>
      <w:r>
        <w:t xml:space="preserve">Art. 10.  O </w:t>
      </w:r>
      <w:r w:rsidR="00CF3230">
        <w:t>prospecto</w:t>
      </w:r>
      <w:r>
        <w:t xml:space="preserve"> é o documento que contém os dados básicos sobre a </w:t>
      </w:r>
      <w:r w:rsidR="007A76F7">
        <w:t>operação</w:t>
      </w:r>
      <w:r>
        <w:t xml:space="preserve"> e a quantidade total de CEPAC que pode ser emitida para alienação ou utilização direta no pagamento das intervenções da própria </w:t>
      </w:r>
      <w:r w:rsidR="007A76F7">
        <w:t>operação</w:t>
      </w:r>
      <w:r>
        <w:t>.</w:t>
      </w:r>
      <w:bookmarkEnd w:id="5"/>
    </w:p>
    <w:p w14:paraId="41523B05" w14:textId="665B31F0" w:rsidR="00597C08" w:rsidRDefault="00597C08" w:rsidP="00585479">
      <w:bookmarkStart w:id="6" w:name="_Ref58149164"/>
      <w:r>
        <w:t xml:space="preserve">Art. 11.  O </w:t>
      </w:r>
      <w:r w:rsidR="00CF3230">
        <w:t>prospecto</w:t>
      </w:r>
      <w:r>
        <w:t xml:space="preserve"> deve apresentar, pelo menos:</w:t>
      </w:r>
      <w:bookmarkEnd w:id="6"/>
    </w:p>
    <w:p w14:paraId="0AAEF8B3" w14:textId="7234944F" w:rsidR="00597C08" w:rsidRDefault="00597C08" w:rsidP="00585479">
      <w:r>
        <w:lastRenderedPageBreak/>
        <w:t xml:space="preserve">I </w:t>
      </w:r>
      <w:r w:rsidR="007A76F7">
        <w:t>–</w:t>
      </w:r>
      <w:r>
        <w:t xml:space="preserve"> </w:t>
      </w:r>
      <w:proofErr w:type="gramStart"/>
      <w:r w:rsidR="00F875D5">
        <w:t>em</w:t>
      </w:r>
      <w:proofErr w:type="gramEnd"/>
      <w:r w:rsidR="00F875D5">
        <w:t xml:space="preserve"> sua capa, </w:t>
      </w:r>
      <w:r>
        <w:t xml:space="preserve">a denominação da </w:t>
      </w:r>
      <w:r w:rsidR="007A76F7">
        <w:t>operação</w:t>
      </w:r>
      <w:r>
        <w:t xml:space="preserve"> e indicação da emissão de CEPAC para financiamento das intervenções nela previstas, além do código ISIN do valor mobiliário;</w:t>
      </w:r>
    </w:p>
    <w:p w14:paraId="7587A23F" w14:textId="43F39C28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II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a</w:t>
      </w:r>
      <w:proofErr w:type="gramEnd"/>
      <w:r w:rsidRPr="00585479">
        <w:rPr>
          <w:color w:val="000000"/>
        </w:rPr>
        <w:t xml:space="preserve"> descrição detalhada das intervenções previstas no âmbito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 xml:space="preserve">, bem como os seus respectivos prazos de execução e custos estimados, observado o disposto nos </w:t>
      </w:r>
      <w:r w:rsidR="003353CF">
        <w:rPr>
          <w:color w:val="000000"/>
        </w:rPr>
        <w:t>§§</w:t>
      </w:r>
      <w:r w:rsidR="003353CF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2º e 3º do </w:t>
      </w:r>
      <w:r w:rsidR="003353CF">
        <w:rPr>
          <w:color w:val="000000"/>
        </w:rPr>
        <w:t>art.</w:t>
      </w:r>
      <w:r w:rsidR="003353CF" w:rsidRPr="00585479">
        <w:rPr>
          <w:color w:val="000000"/>
        </w:rPr>
        <w:t xml:space="preserve"> </w:t>
      </w:r>
      <w:r w:rsidRPr="00585479">
        <w:rPr>
          <w:color w:val="000000"/>
        </w:rPr>
        <w:t>14;</w:t>
      </w:r>
    </w:p>
    <w:p w14:paraId="6F684611" w14:textId="58212367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III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prazo previsto para execução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;</w:t>
      </w:r>
    </w:p>
    <w:p w14:paraId="0E54EBB2" w14:textId="6F7B99B6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IV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a</w:t>
      </w:r>
      <w:proofErr w:type="gramEnd"/>
      <w:r w:rsidRPr="00585479">
        <w:rPr>
          <w:color w:val="000000"/>
        </w:rPr>
        <w:t xml:space="preserve"> quantidade total de CEPAC que poderão ser emitidos na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;</w:t>
      </w:r>
    </w:p>
    <w:p w14:paraId="6AE2C655" w14:textId="6B3FAA3A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V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as</w:t>
      </w:r>
      <w:proofErr w:type="gramEnd"/>
      <w:r w:rsidRPr="00585479">
        <w:rPr>
          <w:color w:val="000000"/>
        </w:rPr>
        <w:t xml:space="preserve"> características dos CEPAC emitidos no âmbito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, especialmente a tabela de conversão dos potenciais construtivos e de modificação de uso, assegurados aos seus titulares, a existência de preço mínimo para alienação ou utilização direta em pagamento das intervenções;</w:t>
      </w:r>
    </w:p>
    <w:p w14:paraId="18DF8D56" w14:textId="33FF8A26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VI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a</w:t>
      </w:r>
      <w:proofErr w:type="gramEnd"/>
      <w:r w:rsidRPr="00585479">
        <w:rPr>
          <w:color w:val="000000"/>
        </w:rPr>
        <w:t xml:space="preserve"> forma de colocação dos CEPAC, se pública</w:t>
      </w:r>
      <w:r w:rsidR="00A14525">
        <w:rPr>
          <w:color w:val="000000"/>
        </w:rPr>
        <w:t>,</w:t>
      </w:r>
      <w:r w:rsidRPr="00585479">
        <w:rPr>
          <w:color w:val="000000"/>
        </w:rPr>
        <w:t xml:space="preserve"> privada, ou ambas; </w:t>
      </w:r>
    </w:p>
    <w:p w14:paraId="533DE9CB" w14:textId="66832EBA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VII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indicação das principais referências legais relativas à </w:t>
      </w:r>
      <w:r w:rsidR="007A76F7">
        <w:rPr>
          <w:color w:val="000000"/>
        </w:rPr>
        <w:t>operação</w:t>
      </w:r>
      <w:r w:rsidRPr="00585479">
        <w:rPr>
          <w:color w:val="000000"/>
        </w:rPr>
        <w:t xml:space="preserve"> e à emissão dos CEPAC, entre as quais a Lei que autorizou a emissão dos CEPAC e o plano diretor do Município que prevê a possibilidade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, assinalando, com destaque, os artigos relativos aos CEPAC;</w:t>
      </w:r>
    </w:p>
    <w:p w14:paraId="093EEA84" w14:textId="72B4D944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VIII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indicação da página da </w:t>
      </w:r>
      <w:r w:rsidR="0037545E">
        <w:rPr>
          <w:color w:val="000000"/>
        </w:rPr>
        <w:t>rede mundial de computadores</w:t>
      </w:r>
      <w:r w:rsidRPr="00585479">
        <w:rPr>
          <w:color w:val="000000"/>
        </w:rPr>
        <w:t xml:space="preserve"> e dos demais locais onde possam ser consultados os diplomas legais citados no </w:t>
      </w:r>
      <w:r w:rsidR="00314DCF">
        <w:rPr>
          <w:color w:val="000000"/>
        </w:rPr>
        <w:t>inciso VII</w:t>
      </w:r>
      <w:r w:rsidRPr="00585479">
        <w:rPr>
          <w:color w:val="000000"/>
        </w:rPr>
        <w:t>;</w:t>
      </w:r>
    </w:p>
    <w:p w14:paraId="4DB76E4B" w14:textId="0D90C0A0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t xml:space="preserve">IX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estudo</w:t>
      </w:r>
      <w:proofErr w:type="gramEnd"/>
      <w:r w:rsidRPr="00585479">
        <w:rPr>
          <w:color w:val="000000"/>
        </w:rPr>
        <w:t xml:space="preserve"> de viabilidade, contendo pelo menos as seguintes informações: valor de mercado dos imóveis contidos no perímetro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 xml:space="preserve">, efeitos das intervenções sobre os imóveis, análise da demanda por adicionais de construção na área, estudo de impacto ambiental e de vizinhança, e forma de determinação da quantidade máxima de CEPAC que poderá ser emitida no âmbito da </w:t>
      </w:r>
      <w:r w:rsidR="007A76F7">
        <w:rPr>
          <w:color w:val="000000"/>
        </w:rPr>
        <w:t>operação</w:t>
      </w:r>
      <w:r w:rsidRPr="00585479">
        <w:rPr>
          <w:color w:val="000000"/>
        </w:rPr>
        <w:t>;</w:t>
      </w:r>
    </w:p>
    <w:p w14:paraId="110F10C3" w14:textId="5DFCE371" w:rsidR="00597C08" w:rsidRDefault="00597C08" w:rsidP="00585479">
      <w:r>
        <w:t xml:space="preserve">X </w:t>
      </w:r>
      <w:r w:rsidR="007A76F7">
        <w:t>–</w:t>
      </w:r>
      <w:r>
        <w:t xml:space="preserve"> </w:t>
      </w:r>
      <w:proofErr w:type="gramStart"/>
      <w:r>
        <w:t>indicação</w:t>
      </w:r>
      <w:proofErr w:type="gramEnd"/>
      <w:r>
        <w:t xml:space="preserve"> dos fatores de risco, inclusive os de natureza política ou econômica, e demais fatos que possam levar à modificação das características da </w:t>
      </w:r>
      <w:r w:rsidR="007A76F7">
        <w:t>operação</w:t>
      </w:r>
      <w:r>
        <w:t>, à não realização das intervenções previstas, ou à existência de dificuldades para o exercício dos direitos assegurados pelos CEPAC no momento da emissão;</w:t>
      </w:r>
    </w:p>
    <w:p w14:paraId="0A02B055" w14:textId="49AE4549" w:rsidR="00597C08" w:rsidRDefault="00597C08" w:rsidP="00585479">
      <w:r>
        <w:t xml:space="preserve">XI </w:t>
      </w:r>
      <w:r w:rsidR="007A76F7">
        <w:t>–</w:t>
      </w:r>
      <w:r>
        <w:t xml:space="preserve"> a indicação da conta específica em que </w:t>
      </w:r>
      <w:bookmarkStart w:id="7" w:name="_GoBack"/>
      <w:r>
        <w:t>serão</w:t>
      </w:r>
      <w:bookmarkEnd w:id="7"/>
      <w:r>
        <w:t xml:space="preserve"> mantidos os recursos obtidos com a alienação dos CEPAC;</w:t>
      </w:r>
    </w:p>
    <w:p w14:paraId="243355CB" w14:textId="038BF4BC" w:rsidR="00597C08" w:rsidRDefault="00597C08" w:rsidP="00585479">
      <w:r>
        <w:t xml:space="preserve">XII </w:t>
      </w:r>
      <w:r w:rsidR="007A76F7">
        <w:t>–</w:t>
      </w:r>
      <w:r>
        <w:t xml:space="preserve"> a indicação da instituição de que trata o </w:t>
      </w:r>
      <w:r w:rsidR="00EB7080">
        <w:t xml:space="preserve">art. </w:t>
      </w:r>
      <w:r>
        <w:t xml:space="preserve">9º desta </w:t>
      </w:r>
      <w:r w:rsidR="00F420AD">
        <w:t>Resol</w:t>
      </w:r>
      <w:r>
        <w:t>ução e os termos do respectivo contrato;</w:t>
      </w:r>
      <w:r w:rsidR="00D61F8D">
        <w:t xml:space="preserve"> e</w:t>
      </w:r>
    </w:p>
    <w:p w14:paraId="606F06F7" w14:textId="48D09315" w:rsidR="00597C08" w:rsidRDefault="00597C08" w:rsidP="00585479">
      <w:r>
        <w:t xml:space="preserve">XIII </w:t>
      </w:r>
      <w:r w:rsidR="007A76F7">
        <w:t>–</w:t>
      </w:r>
      <w:r>
        <w:t xml:space="preserve"> informações sobre outras formas de captação previstas para atingir o objetivo da </w:t>
      </w:r>
      <w:r w:rsidR="007A76F7">
        <w:t>operação</w:t>
      </w:r>
      <w:r>
        <w:t>, no caso de apenas parte dos recursos ser obtida através da emissão de CEPAC</w:t>
      </w:r>
      <w:r w:rsidR="00D61F8D">
        <w:t>.</w:t>
      </w:r>
    </w:p>
    <w:p w14:paraId="1E6B10BE" w14:textId="282F1772" w:rsidR="00597C08" w:rsidRPr="00585479" w:rsidRDefault="00597C08" w:rsidP="00585479">
      <w:pPr>
        <w:rPr>
          <w:color w:val="000000"/>
        </w:rPr>
      </w:pPr>
      <w:r w:rsidRPr="00585479">
        <w:rPr>
          <w:color w:val="000000"/>
        </w:rPr>
        <w:lastRenderedPageBreak/>
        <w:t xml:space="preserve">Parágrafo único. Além das informações solicitadas no </w:t>
      </w:r>
      <w:r w:rsidRPr="00585479">
        <w:rPr>
          <w:b/>
          <w:color w:val="000000"/>
        </w:rPr>
        <w:t>caput</w:t>
      </w:r>
      <w:r w:rsidRPr="00585479">
        <w:rPr>
          <w:color w:val="000000"/>
        </w:rPr>
        <w:t xml:space="preserve"> deste artigo, o </w:t>
      </w:r>
      <w:r w:rsidR="00CF3230">
        <w:rPr>
          <w:color w:val="000000"/>
        </w:rPr>
        <w:t>prospecto</w:t>
      </w:r>
      <w:r w:rsidRPr="00585479">
        <w:rPr>
          <w:color w:val="000000"/>
        </w:rPr>
        <w:t xml:space="preserve"> deve conter, em sua capa, o seguinte texto: “</w:t>
      </w:r>
      <w:r w:rsidRPr="00585479">
        <w:rPr>
          <w:b/>
          <w:color w:val="000000"/>
        </w:rPr>
        <w:t xml:space="preserve">O registro da presente </w:t>
      </w:r>
      <w:r w:rsidR="006A3309" w:rsidRPr="000371C2">
        <w:rPr>
          <w:b/>
        </w:rPr>
        <w:t>operação urbana consorciada</w:t>
      </w:r>
      <w:r w:rsidRPr="00585479">
        <w:rPr>
          <w:b/>
          <w:color w:val="000000"/>
        </w:rPr>
        <w:t>, para a negociação de CEPAC, não implica, por parte da CVM, garantia de veracidade das informações prestadas ou julgamento sobre a qualidade do valor mobiliário emitido para financiar as intervenções previstas</w:t>
      </w:r>
      <w:r w:rsidRPr="00585479">
        <w:rPr>
          <w:color w:val="000000"/>
        </w:rPr>
        <w:t>”.</w:t>
      </w:r>
    </w:p>
    <w:p w14:paraId="184DCA97" w14:textId="31A32CCF" w:rsidR="00480DEC" w:rsidRPr="00585479" w:rsidRDefault="0089397F" w:rsidP="00585479">
      <w:pPr>
        <w:pStyle w:val="Captulo"/>
      </w:pPr>
      <w:r w:rsidRPr="0089397F">
        <w:t>Capítulo VII</w:t>
      </w:r>
      <w:r>
        <w:t>I</w:t>
      </w:r>
      <w:r w:rsidRPr="0089397F">
        <w:t xml:space="preserve"> </w:t>
      </w:r>
      <w:r w:rsidR="007A76F7">
        <w:t>–</w:t>
      </w:r>
      <w:r w:rsidRPr="00585479">
        <w:t xml:space="preserve"> </w:t>
      </w:r>
      <w:r w:rsidR="00597C08" w:rsidRPr="00585479">
        <w:t>REGISTRO DA DISTRIBUIÇÃO PÚBLICA DE CEPAC</w:t>
      </w:r>
    </w:p>
    <w:p w14:paraId="347E580F" w14:textId="5BFAC41C" w:rsidR="0089397F" w:rsidRPr="00585479" w:rsidRDefault="0089397F" w:rsidP="00585479">
      <w:r w:rsidRPr="00585479">
        <w:t xml:space="preserve">Art. 12.  O Município, em conjunto com a instituição líder da distribuição, contratada nos termos do </w:t>
      </w:r>
      <w:r w:rsidR="000317EC">
        <w:t xml:space="preserve">art. </w:t>
      </w:r>
      <w:r>
        <w:t>1</w:t>
      </w:r>
      <w:r w:rsidR="00D61F8D">
        <w:t>9</w:t>
      </w:r>
      <w:r>
        <w:t>, pode</w:t>
      </w:r>
      <w:r w:rsidRPr="00585479">
        <w:t xml:space="preserve"> requerer o registro de distribuição pública para realização do leilão de CEPAC.</w:t>
      </w:r>
    </w:p>
    <w:p w14:paraId="6E050466" w14:textId="2D0E4794" w:rsidR="0089397F" w:rsidRPr="00585479" w:rsidRDefault="0089397F" w:rsidP="00585479">
      <w:bookmarkStart w:id="8" w:name="_Ref58148041"/>
      <w:r w:rsidRPr="00585479">
        <w:t>§</w:t>
      </w:r>
      <w:r w:rsidR="0037545E">
        <w:t xml:space="preserve"> </w:t>
      </w:r>
      <w:r w:rsidRPr="00585479">
        <w:t>1</w:t>
      </w:r>
      <w:proofErr w:type="gramStart"/>
      <w:r w:rsidRPr="00585479">
        <w:t>º  O</w:t>
      </w:r>
      <w:proofErr w:type="gramEnd"/>
      <w:r w:rsidRPr="00585479">
        <w:t xml:space="preserve"> pedido de registro de distribuição pública </w:t>
      </w:r>
      <w:r>
        <w:t>pode</w:t>
      </w:r>
      <w:r w:rsidRPr="00585479">
        <w:t xml:space="preserve"> contemplar uma única intervenção ou um conjunto de intervenções, composto por uma única obra ou desapropriação, ou conjunto de obras ou desapropriações, e </w:t>
      </w:r>
      <w:r>
        <w:t>deve</w:t>
      </w:r>
      <w:r w:rsidRPr="00585479">
        <w:t xml:space="preserve"> ser objeto de um </w:t>
      </w:r>
      <w:r w:rsidR="00A14525">
        <w:t>suplemento</w:t>
      </w:r>
      <w:r w:rsidRPr="00585479">
        <w:t xml:space="preserve"> específico, que </w:t>
      </w:r>
      <w:r>
        <w:t>deve</w:t>
      </w:r>
      <w:r w:rsidRPr="00585479">
        <w:t xml:space="preserve"> ser anexado ao </w:t>
      </w:r>
      <w:r w:rsidR="00CF3230">
        <w:t>prospecto</w:t>
      </w:r>
      <w:r w:rsidRPr="00585479">
        <w:t xml:space="preserve">, passando a </w:t>
      </w:r>
      <w:r w:rsidR="00B14F3F">
        <w:t>integrá-lo</w:t>
      </w:r>
      <w:r w:rsidRPr="00585479">
        <w:t>.</w:t>
      </w:r>
    </w:p>
    <w:p w14:paraId="5186ABCC" w14:textId="550879E6" w:rsidR="0089397F" w:rsidRPr="00585479" w:rsidRDefault="0089397F" w:rsidP="00585479">
      <w:r w:rsidRPr="00585479">
        <w:t>§</w:t>
      </w:r>
      <w:r w:rsidR="0037545E">
        <w:t xml:space="preserve"> </w:t>
      </w:r>
      <w:r w:rsidRPr="00585479">
        <w:t>2</w:t>
      </w:r>
      <w:proofErr w:type="gramStart"/>
      <w:r w:rsidRPr="00585479">
        <w:t>º  O</w:t>
      </w:r>
      <w:proofErr w:type="gramEnd"/>
      <w:r w:rsidRPr="00585479">
        <w:t xml:space="preserve"> pedido de registro de distribuição pública de CEPAC </w:t>
      </w:r>
      <w:r>
        <w:t>deve</w:t>
      </w:r>
      <w:bookmarkEnd w:id="8"/>
      <w:r w:rsidRPr="00585479">
        <w:t xml:space="preserve"> ser assinado pelo Prefeito ou por seu </w:t>
      </w:r>
      <w:r w:rsidR="0037545E">
        <w:t>representante</w:t>
      </w:r>
      <w:r w:rsidRPr="00585479">
        <w:t>, em conjunto com a instituição líder da distribuição, e instruído com o comprovante de pagamento da taxa de fiscalização dos mercados de títulos e valores mobiliários relativa ao registro de emissão de CEPAC.</w:t>
      </w:r>
    </w:p>
    <w:p w14:paraId="36799CEF" w14:textId="4CAA89BC" w:rsidR="0089397F" w:rsidRDefault="0089397F" w:rsidP="00585479">
      <w:r>
        <w:t xml:space="preserve">Art. 13.  Os recursos auferidos pelo Município com a distribuição pública de CEPAC </w:t>
      </w:r>
      <w:r w:rsidR="00146B3F">
        <w:t xml:space="preserve">devem ser </w:t>
      </w:r>
      <w:r>
        <w:t xml:space="preserve">aplicados, exclusivamente, na </w:t>
      </w:r>
      <w:r w:rsidR="007A76F7">
        <w:t>operação</w:t>
      </w:r>
      <w:r>
        <w:t xml:space="preserve"> registrada na CVM a que estejam vinculados, com as seguintes finalidades: </w:t>
      </w:r>
    </w:p>
    <w:p w14:paraId="72863EE9" w14:textId="77777777" w:rsidR="0089397F" w:rsidRPr="00585479" w:rsidRDefault="0089397F" w:rsidP="00585479">
      <w:r w:rsidRPr="00585479">
        <w:t xml:space="preserve">I – </w:t>
      </w:r>
      <w:proofErr w:type="gramStart"/>
      <w:r w:rsidRPr="00585479">
        <w:t>regularização</w:t>
      </w:r>
      <w:proofErr w:type="gramEnd"/>
      <w:r w:rsidRPr="00585479">
        <w:t xml:space="preserve"> fundiária;</w:t>
      </w:r>
    </w:p>
    <w:p w14:paraId="2328526E" w14:textId="77777777" w:rsidR="0089397F" w:rsidRPr="00585479" w:rsidRDefault="0089397F" w:rsidP="00585479">
      <w:r w:rsidRPr="00585479">
        <w:t xml:space="preserve">II – </w:t>
      </w:r>
      <w:proofErr w:type="gramStart"/>
      <w:r w:rsidRPr="00585479">
        <w:t>execução</w:t>
      </w:r>
      <w:proofErr w:type="gramEnd"/>
      <w:r w:rsidRPr="00585479">
        <w:t xml:space="preserve"> de programas e projetos habitacionais de interesse social;</w:t>
      </w:r>
    </w:p>
    <w:p w14:paraId="5CEEFB15" w14:textId="77777777" w:rsidR="0089397F" w:rsidRPr="00585479" w:rsidRDefault="0089397F" w:rsidP="00585479">
      <w:r w:rsidRPr="00585479">
        <w:t>III – constituição de reserva fundiária;</w:t>
      </w:r>
    </w:p>
    <w:p w14:paraId="57234C83" w14:textId="77777777" w:rsidR="0089397F" w:rsidRPr="00585479" w:rsidRDefault="0089397F" w:rsidP="00585479">
      <w:r w:rsidRPr="00585479">
        <w:t>IV – ordenamento e direcionamento da expansão urbana;</w:t>
      </w:r>
    </w:p>
    <w:p w14:paraId="003B2F69" w14:textId="77777777" w:rsidR="0089397F" w:rsidRPr="00585479" w:rsidRDefault="0089397F" w:rsidP="00585479">
      <w:r w:rsidRPr="00585479">
        <w:t xml:space="preserve">V – </w:t>
      </w:r>
      <w:proofErr w:type="gramStart"/>
      <w:r w:rsidRPr="00585479">
        <w:t>implantação</w:t>
      </w:r>
      <w:proofErr w:type="gramEnd"/>
      <w:r w:rsidRPr="00585479">
        <w:t xml:space="preserve"> de equipamentos urbanos e comunitários;</w:t>
      </w:r>
    </w:p>
    <w:p w14:paraId="79967F3F" w14:textId="77777777" w:rsidR="0089397F" w:rsidRPr="00585479" w:rsidRDefault="0089397F" w:rsidP="00585479">
      <w:r w:rsidRPr="00585479">
        <w:t>VI – criação de espaços públicos de lazer e áreas verdes;</w:t>
      </w:r>
    </w:p>
    <w:p w14:paraId="1D9C8542" w14:textId="7C111462" w:rsidR="0089397F" w:rsidRPr="00585479" w:rsidRDefault="0089397F" w:rsidP="00585479">
      <w:r w:rsidRPr="00585479">
        <w:t>VII – criação de unidades de conservação ou proteção de outras áreas de interesse ambiental;</w:t>
      </w:r>
      <w:r w:rsidR="00CD4846">
        <w:t xml:space="preserve"> ou</w:t>
      </w:r>
    </w:p>
    <w:p w14:paraId="18B0F019" w14:textId="77777777" w:rsidR="0089397F" w:rsidRPr="00585479" w:rsidRDefault="0089397F" w:rsidP="00585479">
      <w:r w:rsidRPr="00585479">
        <w:t>VIII – proteção de áreas de interesse histórico, cultural ou paisagístico.</w:t>
      </w:r>
    </w:p>
    <w:p w14:paraId="56F7AE9F" w14:textId="608BA803" w:rsidR="0089397F" w:rsidRDefault="0089397F" w:rsidP="00585479">
      <w:bookmarkStart w:id="9" w:name="_Ref58149508"/>
      <w:bookmarkStart w:id="10" w:name="_Ref59426202"/>
      <w:r>
        <w:t xml:space="preserve">Art. 14.  O </w:t>
      </w:r>
      <w:r w:rsidR="00A14525">
        <w:t>suplemento</w:t>
      </w:r>
      <w:r>
        <w:t xml:space="preserve"> do </w:t>
      </w:r>
      <w:r w:rsidR="00CF3230">
        <w:t>prospecto</w:t>
      </w:r>
      <w:r>
        <w:t xml:space="preserve"> deve apresentar, pelo menos:</w:t>
      </w:r>
      <w:bookmarkEnd w:id="9"/>
      <w:bookmarkEnd w:id="10"/>
    </w:p>
    <w:p w14:paraId="76F2E4CC" w14:textId="2BC1A68B" w:rsidR="0089397F" w:rsidRDefault="0089397F" w:rsidP="00585479">
      <w:r>
        <w:lastRenderedPageBreak/>
        <w:t xml:space="preserve">I </w:t>
      </w:r>
      <w:r w:rsidR="00817344">
        <w:t>–</w:t>
      </w:r>
      <w:r>
        <w:t xml:space="preserve"> </w:t>
      </w:r>
      <w:proofErr w:type="gramStart"/>
      <w:r w:rsidR="00817344">
        <w:t>em</w:t>
      </w:r>
      <w:proofErr w:type="gramEnd"/>
      <w:r w:rsidR="00817344">
        <w:t xml:space="preserve"> sua capa, </w:t>
      </w:r>
      <w:r>
        <w:t xml:space="preserve">a denominação da </w:t>
      </w:r>
      <w:r w:rsidR="007A76F7">
        <w:t>operação</w:t>
      </w:r>
      <w:r>
        <w:t xml:space="preserve"> e o número do registro na CVM;</w:t>
      </w:r>
    </w:p>
    <w:p w14:paraId="5F405A8C" w14:textId="63295B4C" w:rsidR="0089397F" w:rsidRPr="00585479" w:rsidRDefault="0089397F" w:rsidP="00585479">
      <w:r w:rsidRPr="00585479">
        <w:t xml:space="preserve">II </w:t>
      </w:r>
      <w:r w:rsidR="007A76F7">
        <w:t>–</w:t>
      </w:r>
      <w:r w:rsidRPr="00585479">
        <w:t xml:space="preserve"> </w:t>
      </w:r>
      <w:proofErr w:type="gramStart"/>
      <w:r w:rsidRPr="00585479">
        <w:t>a</w:t>
      </w:r>
      <w:proofErr w:type="gramEnd"/>
      <w:r w:rsidRPr="00585479">
        <w:t xml:space="preserve"> indicação das intervenções objeto do registro de distribuição, constantes do </w:t>
      </w:r>
      <w:r w:rsidR="00CF3230">
        <w:t>prospecto</w:t>
      </w:r>
      <w:r w:rsidRPr="00585479">
        <w:t xml:space="preserve">, bem como as respectivas estimativas de prazos de execução e custos, observado o disposto nos </w:t>
      </w:r>
      <w:r w:rsidR="00493E40">
        <w:t>§§ 2º e 3º</w:t>
      </w:r>
      <w:r w:rsidRPr="00585479">
        <w:t xml:space="preserve"> deste artigo; </w:t>
      </w:r>
    </w:p>
    <w:p w14:paraId="42DE9130" w14:textId="44A0615A" w:rsidR="0089397F" w:rsidRPr="00585479" w:rsidRDefault="0089397F" w:rsidP="00585479">
      <w:r w:rsidRPr="00585479">
        <w:t xml:space="preserve">III </w:t>
      </w:r>
      <w:r w:rsidR="007A76F7">
        <w:t>–</w:t>
      </w:r>
      <w:r w:rsidRPr="00585479">
        <w:t xml:space="preserve"> a quantidade total de CEPAC que poderá ser emitida para financiar as intervenções;</w:t>
      </w:r>
    </w:p>
    <w:p w14:paraId="6F74C097" w14:textId="57C3A55E" w:rsidR="0089397F" w:rsidRPr="00585479" w:rsidRDefault="0089397F" w:rsidP="00585479">
      <w:r w:rsidRPr="00585479">
        <w:t xml:space="preserve">IV </w:t>
      </w:r>
      <w:r w:rsidR="007A76F7">
        <w:t>–</w:t>
      </w:r>
      <w:r w:rsidRPr="00585479">
        <w:t xml:space="preserve"> </w:t>
      </w:r>
      <w:proofErr w:type="gramStart"/>
      <w:r w:rsidRPr="00585479">
        <w:t>indicação</w:t>
      </w:r>
      <w:proofErr w:type="gramEnd"/>
      <w:r w:rsidRPr="00585479">
        <w:t xml:space="preserve"> dos meios utilizados para a distribuição pública dos CEPAC;</w:t>
      </w:r>
    </w:p>
    <w:p w14:paraId="6D0D5F1B" w14:textId="67FCFA6A" w:rsidR="0089397F" w:rsidRPr="00585479" w:rsidRDefault="0089397F" w:rsidP="00585479">
      <w:r w:rsidRPr="00585479">
        <w:t xml:space="preserve">V </w:t>
      </w:r>
      <w:r w:rsidR="007A76F7">
        <w:t>–</w:t>
      </w:r>
      <w:r w:rsidRPr="00585479">
        <w:t xml:space="preserve"> </w:t>
      </w:r>
      <w:proofErr w:type="gramStart"/>
      <w:r w:rsidRPr="00585479">
        <w:t>a</w:t>
      </w:r>
      <w:proofErr w:type="gramEnd"/>
      <w:r w:rsidRPr="00585479">
        <w:t xml:space="preserve"> indicação da instituição líder da distribuição, nos termos do </w:t>
      </w:r>
      <w:r w:rsidR="00F5081E">
        <w:t xml:space="preserve">art. </w:t>
      </w:r>
      <w:r>
        <w:t>1</w:t>
      </w:r>
      <w:r w:rsidR="008A756F">
        <w:t>9</w:t>
      </w:r>
      <w:r w:rsidRPr="00585479">
        <w:t>;</w:t>
      </w:r>
    </w:p>
    <w:p w14:paraId="3506918F" w14:textId="1CF45AA6" w:rsidR="0089397F" w:rsidRDefault="0089397F" w:rsidP="00585479">
      <w:r>
        <w:t xml:space="preserve">VI </w:t>
      </w:r>
      <w:r w:rsidR="007A76F7">
        <w:t>–</w:t>
      </w:r>
      <w:r>
        <w:t xml:space="preserve"> </w:t>
      </w:r>
      <w:proofErr w:type="gramStart"/>
      <w:r>
        <w:t>atualização</w:t>
      </w:r>
      <w:proofErr w:type="gramEnd"/>
      <w:r>
        <w:t xml:space="preserve"> das demais informações constantes do </w:t>
      </w:r>
      <w:r w:rsidR="00CF3230">
        <w:t>prospecto</w:t>
      </w:r>
      <w:r>
        <w:t xml:space="preserve"> referido no </w:t>
      </w:r>
      <w:r w:rsidR="0037545E">
        <w:t xml:space="preserve">art. </w:t>
      </w:r>
      <w:r>
        <w:t>11, podendo ser incluída por referência toda e qualquer informação já apresentada à CVM e disponível ao público, seja ela periódica ou eventual;</w:t>
      </w:r>
    </w:p>
    <w:p w14:paraId="580AF370" w14:textId="2FD119AC" w:rsidR="0089397F" w:rsidRPr="00585479" w:rsidRDefault="0089397F" w:rsidP="00585479">
      <w:r w:rsidRPr="00585479">
        <w:t>§</w:t>
      </w:r>
      <w:r w:rsidR="009F0369">
        <w:t xml:space="preserve"> </w:t>
      </w:r>
      <w:r w:rsidRPr="00585479">
        <w:t>1</w:t>
      </w:r>
      <w:proofErr w:type="gramStart"/>
      <w:r w:rsidRPr="00585479">
        <w:t>º  Além</w:t>
      </w:r>
      <w:proofErr w:type="gramEnd"/>
      <w:r w:rsidRPr="00585479">
        <w:t xml:space="preserve"> das informações solicitadas neste artigo, o </w:t>
      </w:r>
      <w:r w:rsidR="00A14525">
        <w:t>suplemento</w:t>
      </w:r>
      <w:r w:rsidRPr="00585479">
        <w:t xml:space="preserve"> do </w:t>
      </w:r>
      <w:r w:rsidR="00CF3230">
        <w:t>prospecto</w:t>
      </w:r>
      <w:r w:rsidRPr="00585479">
        <w:t xml:space="preserve"> deve conter os seguintes </w:t>
      </w:r>
      <w:r w:rsidR="0037545E">
        <w:t>alertas</w:t>
      </w:r>
      <w:r w:rsidR="0037545E" w:rsidRPr="00585479">
        <w:t xml:space="preserve"> </w:t>
      </w:r>
      <w:r w:rsidRPr="00585479">
        <w:t xml:space="preserve">em sua capa: </w:t>
      </w:r>
    </w:p>
    <w:p w14:paraId="3729FD62" w14:textId="75CD9AD0" w:rsidR="0089397F" w:rsidRDefault="000100F1" w:rsidP="00585479">
      <w:r>
        <w:t xml:space="preserve">I – </w:t>
      </w:r>
      <w:r w:rsidR="0089397F" w:rsidRPr="00585479">
        <w:t>“</w:t>
      </w:r>
      <w:r w:rsidR="0089397F" w:rsidRPr="00585479">
        <w:rPr>
          <w:b/>
        </w:rPr>
        <w:t xml:space="preserve">O registro da presente </w:t>
      </w:r>
      <w:r w:rsidR="006A3309" w:rsidRPr="00800D0D">
        <w:rPr>
          <w:b/>
        </w:rPr>
        <w:t xml:space="preserve">oferta pública de </w:t>
      </w:r>
      <w:r w:rsidR="0089397F" w:rsidRPr="00585479">
        <w:rPr>
          <w:b/>
        </w:rPr>
        <w:t xml:space="preserve">distribuição não implica, por parte da CVM, garantia de veracidade das informações prestadas ou julgamento sobre a qualidade da </w:t>
      </w:r>
      <w:r w:rsidR="006A3309" w:rsidRPr="00800D0D">
        <w:rPr>
          <w:b/>
        </w:rPr>
        <w:t>o</w:t>
      </w:r>
      <w:r w:rsidR="0089397F" w:rsidRPr="00800D0D">
        <w:rPr>
          <w:b/>
        </w:rPr>
        <w:t xml:space="preserve">peração </w:t>
      </w:r>
      <w:r w:rsidR="006A3309" w:rsidRPr="00800D0D">
        <w:rPr>
          <w:b/>
        </w:rPr>
        <w:t>u</w:t>
      </w:r>
      <w:r w:rsidR="0089397F" w:rsidRPr="00800D0D">
        <w:rPr>
          <w:b/>
        </w:rPr>
        <w:t xml:space="preserve">rbana </w:t>
      </w:r>
      <w:r w:rsidR="006A3309" w:rsidRPr="00800D0D">
        <w:rPr>
          <w:b/>
        </w:rPr>
        <w:t>c</w:t>
      </w:r>
      <w:r w:rsidR="0089397F" w:rsidRPr="00800D0D">
        <w:rPr>
          <w:b/>
        </w:rPr>
        <w:t>onsorciada</w:t>
      </w:r>
      <w:r w:rsidR="0089397F" w:rsidRPr="00585479">
        <w:rPr>
          <w:b/>
        </w:rPr>
        <w:t>, bem como sobre os CEPAC a serem distribuídos</w:t>
      </w:r>
      <w:r w:rsidR="0089397F">
        <w:t>”;</w:t>
      </w:r>
      <w:r>
        <w:t xml:space="preserve"> e</w:t>
      </w:r>
    </w:p>
    <w:p w14:paraId="60EA6F71" w14:textId="3A20DE70" w:rsidR="0089397F" w:rsidRPr="00585479" w:rsidRDefault="000100F1" w:rsidP="00585479">
      <w:r>
        <w:rPr>
          <w:iCs/>
        </w:rPr>
        <w:t xml:space="preserve">II – </w:t>
      </w:r>
      <w:r w:rsidR="0089397F">
        <w:rPr>
          <w:iCs/>
        </w:rPr>
        <w:t>“</w:t>
      </w:r>
      <w:r w:rsidR="006A3309" w:rsidRPr="00800D0D">
        <w:rPr>
          <w:b/>
          <w:iCs/>
        </w:rPr>
        <w:t>Os</w:t>
      </w:r>
      <w:r w:rsidR="006A3309" w:rsidRPr="00585479">
        <w:rPr>
          <w:b/>
        </w:rPr>
        <w:t xml:space="preserve"> </w:t>
      </w:r>
      <w:r w:rsidR="0089397F" w:rsidRPr="00585479">
        <w:rPr>
          <w:b/>
        </w:rPr>
        <w:t xml:space="preserve">investidores devem ler a seção fatores de risco, nas páginas </w:t>
      </w:r>
      <w:r w:rsidR="006A3309" w:rsidRPr="00800D0D">
        <w:rPr>
          <w:b/>
          <w:iCs/>
        </w:rPr>
        <w:t>[</w:t>
      </w:r>
      <w:r w:rsidRPr="00800D0D">
        <w:rPr>
          <w:b/>
          <w:iCs/>
        </w:rPr>
        <w:t>•]</w:t>
      </w:r>
      <w:r w:rsidR="006A3309" w:rsidRPr="00585479">
        <w:rPr>
          <w:b/>
        </w:rPr>
        <w:t xml:space="preserve"> </w:t>
      </w:r>
      <w:r w:rsidR="0089397F" w:rsidRPr="00585479">
        <w:rPr>
          <w:b/>
        </w:rPr>
        <w:t xml:space="preserve">a </w:t>
      </w:r>
      <w:r w:rsidRPr="00800D0D">
        <w:rPr>
          <w:b/>
          <w:iCs/>
        </w:rPr>
        <w:t>[•]</w:t>
      </w:r>
      <w:r w:rsidR="0089397F">
        <w:rPr>
          <w:iCs/>
        </w:rPr>
        <w:t>”</w:t>
      </w:r>
      <w:r>
        <w:rPr>
          <w:iCs/>
        </w:rPr>
        <w:t>.</w:t>
      </w:r>
    </w:p>
    <w:p w14:paraId="1CC22FE6" w14:textId="310346FA" w:rsidR="0089397F" w:rsidRPr="00585479" w:rsidRDefault="0089397F" w:rsidP="00585479">
      <w:r w:rsidRPr="00585479">
        <w:t>§</w:t>
      </w:r>
      <w:r w:rsidR="009F0369">
        <w:t xml:space="preserve"> </w:t>
      </w:r>
      <w:r w:rsidRPr="00585479">
        <w:t>2</w:t>
      </w:r>
      <w:proofErr w:type="gramStart"/>
      <w:r w:rsidRPr="00585479">
        <w:t>º  O</w:t>
      </w:r>
      <w:proofErr w:type="gramEnd"/>
      <w:r w:rsidRPr="00585479">
        <w:t xml:space="preserve"> custo das obras integrantes da </w:t>
      </w:r>
      <w:r w:rsidR="007A76F7">
        <w:t>operação</w:t>
      </w:r>
      <w:r>
        <w:t xml:space="preserve"> </w:t>
      </w:r>
      <w:r w:rsidR="00AE4001">
        <w:t>é</w:t>
      </w:r>
      <w:r w:rsidRPr="00585479">
        <w:t xml:space="preserve"> o definido nos editais de licitação, devendo ser ajustado o </w:t>
      </w:r>
      <w:r w:rsidR="00A14525">
        <w:t>suplemento</w:t>
      </w:r>
      <w:r w:rsidRPr="00585479">
        <w:t xml:space="preserve"> quando for firmado o contrato com o responsável pela realização</w:t>
      </w:r>
      <w:r w:rsidR="0037545E" w:rsidRPr="00585479">
        <w:t xml:space="preserve"> </w:t>
      </w:r>
      <w:r w:rsidR="0037545E">
        <w:t>das obras</w:t>
      </w:r>
      <w:r w:rsidRPr="00585479">
        <w:t>.</w:t>
      </w:r>
    </w:p>
    <w:p w14:paraId="60B448F8" w14:textId="4F8995CF" w:rsidR="0089397F" w:rsidRPr="00585479" w:rsidRDefault="0089397F" w:rsidP="00585479">
      <w:r w:rsidRPr="00585479">
        <w:t>§</w:t>
      </w:r>
      <w:r w:rsidR="009F0369">
        <w:t xml:space="preserve"> </w:t>
      </w:r>
      <w:r w:rsidRPr="00585479">
        <w:t>3</w:t>
      </w:r>
      <w:proofErr w:type="gramStart"/>
      <w:r w:rsidRPr="00585479">
        <w:t>º  O</w:t>
      </w:r>
      <w:proofErr w:type="gramEnd"/>
      <w:r w:rsidRPr="00585479">
        <w:t xml:space="preserve"> custo das desapropriações integrantes da </w:t>
      </w:r>
      <w:r w:rsidR="007A76F7">
        <w:t>operação</w:t>
      </w:r>
      <w:r>
        <w:t xml:space="preserve"> </w:t>
      </w:r>
      <w:r w:rsidR="00AE4001">
        <w:t>deve ser</w:t>
      </w:r>
      <w:r w:rsidR="00AE4001" w:rsidRPr="00585479">
        <w:t xml:space="preserve"> </w:t>
      </w:r>
      <w:r w:rsidRPr="00585479">
        <w:t xml:space="preserve">definido pela avaliação administrativa ou judicial do valor dos imóveis, e somente </w:t>
      </w:r>
      <w:r>
        <w:t>pode</w:t>
      </w:r>
      <w:r w:rsidRPr="00585479">
        <w:t xml:space="preserve"> ser realizada a colocação pública dos CEPAC após a publicação do </w:t>
      </w:r>
      <w:r w:rsidR="00AE4001">
        <w:t>d</w:t>
      </w:r>
      <w:r>
        <w:t>ecreto</w:t>
      </w:r>
      <w:r w:rsidRPr="00585479">
        <w:t xml:space="preserve"> expropriatório, o qual </w:t>
      </w:r>
      <w:r>
        <w:t>deve</w:t>
      </w:r>
      <w:r w:rsidRPr="00585479">
        <w:t xml:space="preserve"> estar mencionado no </w:t>
      </w:r>
      <w:r w:rsidR="00A14525">
        <w:t>suplemento</w:t>
      </w:r>
      <w:r w:rsidRPr="00585479">
        <w:t xml:space="preserve"> ao </w:t>
      </w:r>
      <w:r w:rsidR="00CF3230">
        <w:t>prospecto</w:t>
      </w:r>
      <w:r w:rsidRPr="00585479">
        <w:t xml:space="preserve">, com indicação dos locais e da página da </w:t>
      </w:r>
      <w:r w:rsidR="0037545E">
        <w:t>rede mundial de computadores</w:t>
      </w:r>
      <w:r w:rsidRPr="00585479">
        <w:t xml:space="preserve"> em que </w:t>
      </w:r>
      <w:r>
        <w:t>pode</w:t>
      </w:r>
      <w:r w:rsidRPr="00585479">
        <w:t xml:space="preserve"> ser consultado. </w:t>
      </w:r>
    </w:p>
    <w:p w14:paraId="7F6037B1" w14:textId="7B65FFC9" w:rsidR="0089397F" w:rsidRPr="00585479" w:rsidRDefault="0089397F" w:rsidP="00585479">
      <w:pPr>
        <w:rPr>
          <w:kern w:val="18"/>
        </w:rPr>
      </w:pPr>
      <w:r w:rsidRPr="00585479">
        <w:t>§</w:t>
      </w:r>
      <w:r w:rsidR="009F0369">
        <w:t xml:space="preserve"> </w:t>
      </w:r>
      <w:r w:rsidRPr="00585479">
        <w:t>4</w:t>
      </w:r>
      <w:proofErr w:type="gramStart"/>
      <w:r w:rsidRPr="00585479">
        <w:t>º  O</w:t>
      </w:r>
      <w:proofErr w:type="gramEnd"/>
      <w:r w:rsidRPr="00585479">
        <w:t xml:space="preserve"> Município </w:t>
      </w:r>
      <w:r>
        <w:t>pode</w:t>
      </w:r>
      <w:r w:rsidRPr="00585479">
        <w:t xml:space="preserve"> acrescer aos custos previstos nos parágrafos anteriores, despesas comprovadamente incorridas na elaboração de projetos, estudos e demais providências necessárias à realização das intervenções previstas na </w:t>
      </w:r>
      <w:r w:rsidR="007A76F7">
        <w:t>operação</w:t>
      </w:r>
      <w:r w:rsidRPr="00585479">
        <w:t xml:space="preserve">, para ressarcimento </w:t>
      </w:r>
      <w:r w:rsidR="003E7357">
        <w:t>por meio</w:t>
      </w:r>
      <w:r w:rsidR="003E7357" w:rsidRPr="00585479">
        <w:t xml:space="preserve"> </w:t>
      </w:r>
      <w:r w:rsidRPr="00585479">
        <w:t>da alienação de CEPAC, desde que faça c</w:t>
      </w:r>
      <w:r w:rsidRPr="00585479">
        <w:rPr>
          <w:kern w:val="18"/>
        </w:rPr>
        <w:t xml:space="preserve">onstar do </w:t>
      </w:r>
      <w:r w:rsidR="00A14525">
        <w:rPr>
          <w:kern w:val="18"/>
        </w:rPr>
        <w:t>suplemento</w:t>
      </w:r>
      <w:r w:rsidRPr="00585479">
        <w:rPr>
          <w:kern w:val="18"/>
        </w:rPr>
        <w:t xml:space="preserve"> ao </w:t>
      </w:r>
      <w:r w:rsidR="00CF3230">
        <w:rPr>
          <w:kern w:val="18"/>
        </w:rPr>
        <w:t>prospecto</w:t>
      </w:r>
      <w:r w:rsidRPr="00585479">
        <w:rPr>
          <w:kern w:val="18"/>
        </w:rPr>
        <w:t xml:space="preserve"> as informações sobre essas despesas e seus respectivos documentos comprobatórios, com indicação dos locais em que possam ser inspecionados.</w:t>
      </w:r>
    </w:p>
    <w:p w14:paraId="29458D32" w14:textId="4F19D441" w:rsidR="0089397F" w:rsidRDefault="0089397F" w:rsidP="00585479">
      <w:r>
        <w:lastRenderedPageBreak/>
        <w:t xml:space="preserve">Art. 15.  </w:t>
      </w:r>
      <w:r w:rsidR="00F91C4B">
        <w:t>O deferimento de</w:t>
      </w:r>
      <w:r>
        <w:t xml:space="preserve"> registro de uma nova distribuição de CEPAC vinculados à uma mesma </w:t>
      </w:r>
      <w:r w:rsidR="00CF3230">
        <w:t>operação</w:t>
      </w:r>
      <w:r>
        <w:t xml:space="preserve"> </w:t>
      </w:r>
      <w:r w:rsidR="00F91C4B">
        <w:t xml:space="preserve">é possível somente </w:t>
      </w:r>
      <w:r>
        <w:t>após:</w:t>
      </w:r>
    </w:p>
    <w:p w14:paraId="6C466F6F" w14:textId="24662FE0" w:rsidR="0089397F" w:rsidRPr="00585479" w:rsidRDefault="0089397F" w:rsidP="00585479">
      <w:r w:rsidRPr="00585479">
        <w:t xml:space="preserve">I </w:t>
      </w:r>
      <w:r w:rsidR="007A76F7">
        <w:t>–</w:t>
      </w:r>
      <w:r w:rsidRPr="00585479">
        <w:t xml:space="preserve"> </w:t>
      </w:r>
      <w:proofErr w:type="gramStart"/>
      <w:r w:rsidRPr="00585479">
        <w:t>terem</w:t>
      </w:r>
      <w:proofErr w:type="gramEnd"/>
      <w:r w:rsidRPr="00585479">
        <w:t xml:space="preserve"> sido concluídas as intervenções abrangidas pela distribuição anterior</w:t>
      </w:r>
      <w:r w:rsidR="00A05722">
        <w:t>;</w:t>
      </w:r>
    </w:p>
    <w:p w14:paraId="652DDEF9" w14:textId="73D34062" w:rsidR="0089397F" w:rsidRPr="00585479" w:rsidRDefault="0089397F" w:rsidP="00585479">
      <w:r w:rsidRPr="00585479">
        <w:t xml:space="preserve">II </w:t>
      </w:r>
      <w:r w:rsidR="007A76F7">
        <w:t>–</w:t>
      </w:r>
      <w:r w:rsidRPr="00585479">
        <w:t xml:space="preserve"> </w:t>
      </w:r>
      <w:proofErr w:type="gramStart"/>
      <w:r w:rsidRPr="00585479">
        <w:t>ter</w:t>
      </w:r>
      <w:proofErr w:type="gramEnd"/>
      <w:r w:rsidRPr="00585479">
        <w:t xml:space="preserve"> sido esgotada a distribuição de CEPAC previamente aprovada</w:t>
      </w:r>
      <w:r w:rsidR="00A05722">
        <w:t>;</w:t>
      </w:r>
      <w:r w:rsidR="00A05722" w:rsidRPr="00585479">
        <w:t xml:space="preserve"> </w:t>
      </w:r>
      <w:r w:rsidRPr="00585479">
        <w:t>ou</w:t>
      </w:r>
    </w:p>
    <w:p w14:paraId="2BCFD4CB" w14:textId="0A59EC36" w:rsidR="0089397F" w:rsidRPr="00585479" w:rsidRDefault="0089397F" w:rsidP="00585479">
      <w:r w:rsidRPr="00585479">
        <w:t xml:space="preserve">III </w:t>
      </w:r>
      <w:r w:rsidR="007A76F7">
        <w:t>–</w:t>
      </w:r>
      <w:r w:rsidRPr="00585479">
        <w:t xml:space="preserve"> terem sido captados, comprovadamente, os recursos necessários para a conclusão das intervenções objeto da distribuição anterior.</w:t>
      </w:r>
    </w:p>
    <w:p w14:paraId="5F233D85" w14:textId="3E328A93" w:rsidR="0089397F" w:rsidRDefault="0089397F" w:rsidP="00585479">
      <w:r>
        <w:t xml:space="preserve">Art. 16.  O </w:t>
      </w:r>
      <w:r w:rsidR="00CF3230">
        <w:t>prospecto</w:t>
      </w:r>
      <w:r>
        <w:t xml:space="preserve"> e seus </w:t>
      </w:r>
      <w:r w:rsidR="00A14525">
        <w:t>suplemento</w:t>
      </w:r>
      <w:r>
        <w:t xml:space="preserve">s </w:t>
      </w:r>
      <w:r w:rsidR="00A05722">
        <w:t xml:space="preserve">devem </w:t>
      </w:r>
      <w:r>
        <w:t xml:space="preserve">estar permanentemente à disposição do público para consulta, em </w:t>
      </w:r>
      <w:r w:rsidR="000317EC">
        <w:t xml:space="preserve">página da rede mundial de computadores </w:t>
      </w:r>
      <w:r>
        <w:t xml:space="preserve">a ser </w:t>
      </w:r>
      <w:r w:rsidR="000317EC">
        <w:t xml:space="preserve">designada </w:t>
      </w:r>
      <w:r>
        <w:t>pelo Município.</w:t>
      </w:r>
    </w:p>
    <w:p w14:paraId="65FC05FC" w14:textId="77777777" w:rsidR="0089397F" w:rsidRDefault="0089397F" w:rsidP="00585479">
      <w:r>
        <w:t xml:space="preserve"> Art. 17.  A distribuição pública de CEPAC só pode ser realizada no mercado com intermediação das instituições integrantes do sistema de distribuição de valores mobiliários.</w:t>
      </w:r>
    </w:p>
    <w:p w14:paraId="39509699" w14:textId="68B24C82" w:rsidR="000317EC" w:rsidRDefault="0089397F" w:rsidP="0089397F">
      <w:r w:rsidRPr="00585479">
        <w:t>§</w:t>
      </w:r>
      <w:r w:rsidR="0037545E">
        <w:t xml:space="preserve"> </w:t>
      </w:r>
      <w:r w:rsidRPr="00585479">
        <w:t>1</w:t>
      </w:r>
      <w:proofErr w:type="gramStart"/>
      <w:r w:rsidRPr="00585479">
        <w:t>º  Caso</w:t>
      </w:r>
      <w:proofErr w:type="gramEnd"/>
      <w:r w:rsidRPr="00585479">
        <w:t xml:space="preserve"> ocorram, no âmbito da </w:t>
      </w:r>
      <w:r w:rsidR="007A76F7">
        <w:t>operação</w:t>
      </w:r>
      <w:r w:rsidRPr="00585479">
        <w:t xml:space="preserve"> registrada, distribuições privadas de CEPAC, o Município </w:t>
      </w:r>
      <w:r w:rsidR="000317EC">
        <w:t>deve informar</w:t>
      </w:r>
      <w:r w:rsidR="000317EC" w:rsidRPr="00585479">
        <w:t xml:space="preserve"> </w:t>
      </w:r>
      <w:r w:rsidRPr="00585479">
        <w:t xml:space="preserve">à CVM, às </w:t>
      </w:r>
      <w:r w:rsidR="005D0FA1" w:rsidRPr="00585479">
        <w:t xml:space="preserve">entidades </w:t>
      </w:r>
      <w:r w:rsidR="005D0FA1">
        <w:t>administradoras</w:t>
      </w:r>
      <w:r w:rsidR="00080E17">
        <w:t xml:space="preserve"> de mercados organizados em que </w:t>
      </w:r>
      <w:r w:rsidR="000317EC">
        <w:t xml:space="preserve">os CEPAC </w:t>
      </w:r>
      <w:r w:rsidR="00080E17">
        <w:t xml:space="preserve">sejam </w:t>
      </w:r>
      <w:r w:rsidR="000317EC">
        <w:t>admitidos à negociação</w:t>
      </w:r>
      <w:r w:rsidRPr="00585479">
        <w:t xml:space="preserve"> e à entidade responsável pela escrituração dos CEPAC</w:t>
      </w:r>
      <w:r w:rsidR="000317EC">
        <w:t>:</w:t>
      </w:r>
    </w:p>
    <w:p w14:paraId="63B39D93" w14:textId="77777777" w:rsidR="000317EC" w:rsidRDefault="000317EC" w:rsidP="0089397F">
      <w:r>
        <w:t>I –</w:t>
      </w:r>
      <w:r w:rsidRPr="00585479">
        <w:t xml:space="preserve"> </w:t>
      </w:r>
      <w:proofErr w:type="gramStart"/>
      <w:r w:rsidR="0089397F" w:rsidRPr="00585479">
        <w:t>a</w:t>
      </w:r>
      <w:proofErr w:type="gramEnd"/>
      <w:r w:rsidR="0089397F" w:rsidRPr="00585479">
        <w:t xml:space="preserve"> quantidade de CEPAC distribuída</w:t>
      </w:r>
      <w:r>
        <w:t>;</w:t>
      </w:r>
      <w:r w:rsidR="0089397F" w:rsidRPr="00585479">
        <w:t xml:space="preserve"> e</w:t>
      </w:r>
    </w:p>
    <w:p w14:paraId="107E7941" w14:textId="2AB87721" w:rsidR="0089397F" w:rsidRPr="00585479" w:rsidRDefault="000317EC" w:rsidP="00585479">
      <w:r>
        <w:t>II –</w:t>
      </w:r>
      <w:r w:rsidR="0089397F" w:rsidRPr="00585479">
        <w:t xml:space="preserve"> </w:t>
      </w:r>
      <w:proofErr w:type="gramStart"/>
      <w:r w:rsidR="0089397F" w:rsidRPr="00585479">
        <w:t>o</w:t>
      </w:r>
      <w:proofErr w:type="gramEnd"/>
      <w:r w:rsidR="0089397F" w:rsidRPr="00585479">
        <w:t xml:space="preserve"> valor do CEPAC adotado como referência.</w:t>
      </w:r>
    </w:p>
    <w:p w14:paraId="5EFE6AE2" w14:textId="1B2DFFE7" w:rsidR="0089397F" w:rsidRPr="00585479" w:rsidRDefault="0089397F" w:rsidP="00585479">
      <w:r w:rsidRPr="00585479">
        <w:t>§</w:t>
      </w:r>
      <w:r w:rsidR="0037545E">
        <w:t xml:space="preserve"> </w:t>
      </w:r>
      <w:r w:rsidRPr="00585479">
        <w:t>2</w:t>
      </w:r>
      <w:proofErr w:type="gramStart"/>
      <w:r w:rsidRPr="00585479">
        <w:t>º  O</w:t>
      </w:r>
      <w:proofErr w:type="gramEnd"/>
      <w:r w:rsidRPr="00585479">
        <w:t xml:space="preserve"> Prefeito ou seu </w:t>
      </w:r>
      <w:r w:rsidR="0037545E">
        <w:t>representante</w:t>
      </w:r>
      <w:r w:rsidRPr="00585479">
        <w:t xml:space="preserve"> são responsáveis pela veracidade, qualidade e suficiência das informações fornecidas à CVM e ao mercado, bem como por eventuais danos causados a terceiros, por culpa ou dolo, em razão da falsidade, imprecisão ou omissão de tais informações.</w:t>
      </w:r>
    </w:p>
    <w:p w14:paraId="615749C0" w14:textId="2FDA87A4" w:rsidR="0089397F" w:rsidRPr="00585479" w:rsidRDefault="0089397F" w:rsidP="00585479">
      <w:r w:rsidRPr="00585479">
        <w:t>§</w:t>
      </w:r>
      <w:r w:rsidR="0037545E">
        <w:t xml:space="preserve"> </w:t>
      </w:r>
      <w:r w:rsidRPr="00585479">
        <w:t>3</w:t>
      </w:r>
      <w:proofErr w:type="gramStart"/>
      <w:r w:rsidRPr="00585479">
        <w:t>º  Para</w:t>
      </w:r>
      <w:proofErr w:type="gramEnd"/>
      <w:r w:rsidRPr="00585479">
        <w:t xml:space="preserve"> realização de leilão de CEPAC, o Edital </w:t>
      </w:r>
      <w:r>
        <w:t>deve</w:t>
      </w:r>
      <w:r w:rsidRPr="00585479">
        <w:t xml:space="preserve"> ser publicado no Diário Oficial em que o Município regularmente publique seus atos, nos boletins informativos das </w:t>
      </w:r>
      <w:r w:rsidR="000317EC" w:rsidRPr="00585479">
        <w:t xml:space="preserve">entidades </w:t>
      </w:r>
      <w:r w:rsidR="000317EC">
        <w:t>administradoras de mercados organizados</w:t>
      </w:r>
      <w:r w:rsidRPr="00585479">
        <w:t xml:space="preserve"> em que sejam admitidos à negociação, e em página da </w:t>
      </w:r>
      <w:r w:rsidR="000A1348">
        <w:t>rede mundial de computadores</w:t>
      </w:r>
      <w:r w:rsidRPr="00585479">
        <w:t>.</w:t>
      </w:r>
    </w:p>
    <w:p w14:paraId="6CB528EF" w14:textId="5A38FA47" w:rsidR="0089397F" w:rsidRPr="00585479" w:rsidRDefault="0089397F" w:rsidP="00585479">
      <w:r w:rsidRPr="00281A8B">
        <w:rPr>
          <w:snapToGrid w:val="0"/>
        </w:rPr>
        <w:t xml:space="preserve">Art. </w:t>
      </w:r>
      <w:r w:rsidRPr="00472636">
        <w:rPr>
          <w:snapToGrid w:val="0"/>
        </w:rPr>
        <w:t>1</w:t>
      </w:r>
      <w:r w:rsidR="00F420AD" w:rsidRPr="00472636">
        <w:rPr>
          <w:snapToGrid w:val="0"/>
        </w:rPr>
        <w:t>8</w:t>
      </w:r>
      <w:r w:rsidR="006A3309">
        <w:rPr>
          <w:snapToGrid w:val="0"/>
        </w:rPr>
        <w:t>.</w:t>
      </w:r>
      <w:r w:rsidRPr="00472636">
        <w:rPr>
          <w:snapToGrid w:val="0"/>
        </w:rPr>
        <w:t xml:space="preserve">  </w:t>
      </w:r>
      <w:r w:rsidRPr="00585479">
        <w:t xml:space="preserve">A subscrição ou aquisição dos </w:t>
      </w:r>
      <w:r w:rsidR="00EF0E46">
        <w:rPr>
          <w:snapToGrid w:val="0"/>
        </w:rPr>
        <w:t>CEPAC</w:t>
      </w:r>
      <w:r w:rsidRPr="00585479">
        <w:t xml:space="preserve"> objeto de oferta pública de distribuição </w:t>
      </w:r>
      <w:r w:rsidRPr="00281A8B">
        <w:rPr>
          <w:snapToGrid w:val="0"/>
        </w:rPr>
        <w:t>deve</w:t>
      </w:r>
      <w:r w:rsidRPr="00585479">
        <w:t xml:space="preserve"> ser realizada no prazo máximo de 2 (dois) anos, contado da data de divulgação do </w:t>
      </w:r>
      <w:r w:rsidR="000317EC">
        <w:t>a</w:t>
      </w:r>
      <w:r w:rsidR="000317EC" w:rsidRPr="00281A8B">
        <w:t>núncio</w:t>
      </w:r>
      <w:r w:rsidR="000317EC" w:rsidRPr="00585479">
        <w:t xml:space="preserve"> </w:t>
      </w:r>
      <w:r w:rsidRPr="00585479">
        <w:t xml:space="preserve">de </w:t>
      </w:r>
      <w:r w:rsidR="000317EC">
        <w:t>i</w:t>
      </w:r>
      <w:r w:rsidR="000317EC" w:rsidRPr="00281A8B">
        <w:t>nício</w:t>
      </w:r>
      <w:r w:rsidR="000317EC" w:rsidRPr="00585479">
        <w:t xml:space="preserve"> </w:t>
      </w:r>
      <w:r w:rsidRPr="00585479">
        <w:t xml:space="preserve">de </w:t>
      </w:r>
      <w:r w:rsidR="000317EC">
        <w:t>d</w:t>
      </w:r>
      <w:r w:rsidR="000317EC" w:rsidRPr="00281A8B">
        <w:t>istribuição</w:t>
      </w:r>
      <w:r w:rsidRPr="00585479">
        <w:t>.</w:t>
      </w:r>
    </w:p>
    <w:p w14:paraId="27AEC018" w14:textId="56E64BF6" w:rsidR="0089397F" w:rsidRDefault="0089397F" w:rsidP="00585479">
      <w:bookmarkStart w:id="11" w:name="_Ref58147274"/>
      <w:r w:rsidRPr="00585479">
        <w:t xml:space="preserve">Art. </w:t>
      </w:r>
      <w:r>
        <w:t>1</w:t>
      </w:r>
      <w:r w:rsidR="008A756F">
        <w:t>9</w:t>
      </w:r>
      <w:r>
        <w:t>.  O Município deve contratar instituição integrante do sistema de distribuição de valores mobiliários que, na qualidade de líder da distribuição, atuará, em conjunto com o Município, nos pedidos de registro, na colocação dos CEPAC no mercado, e nas comunicações com a CVM e com o mercado.</w:t>
      </w:r>
      <w:bookmarkEnd w:id="11"/>
    </w:p>
    <w:p w14:paraId="2C8D02AA" w14:textId="5997D790" w:rsidR="00597C08" w:rsidRPr="00585479" w:rsidRDefault="0022635B" w:rsidP="00585479">
      <w:pPr>
        <w:pStyle w:val="Captulo"/>
      </w:pPr>
      <w:r w:rsidRPr="0089397F">
        <w:lastRenderedPageBreak/>
        <w:t xml:space="preserve">Capítulo </w:t>
      </w:r>
      <w:r>
        <w:t>IX</w:t>
      </w:r>
      <w:r w:rsidRPr="0089397F">
        <w:t xml:space="preserve"> </w:t>
      </w:r>
      <w:r w:rsidR="007A76F7">
        <w:t>–</w:t>
      </w:r>
      <w:r w:rsidRPr="00585479">
        <w:t xml:space="preserve"> </w:t>
      </w:r>
      <w:r w:rsidR="0089397F" w:rsidRPr="00585479">
        <w:t>INFRAÇÕES E PENALIDADES</w:t>
      </w:r>
    </w:p>
    <w:p w14:paraId="6EE0D1C9" w14:textId="398B93C3" w:rsidR="0089397F" w:rsidRDefault="0089397F" w:rsidP="00585479">
      <w:r>
        <w:t xml:space="preserve">Art. </w:t>
      </w:r>
      <w:r w:rsidR="008A756F">
        <w:t>20</w:t>
      </w:r>
      <w:r>
        <w:t>.  Considera-se infração grave, para efeitos do §</w:t>
      </w:r>
      <w:r w:rsidR="00D563FF">
        <w:t xml:space="preserve"> </w:t>
      </w:r>
      <w:r>
        <w:t>3º do art. 11 da Lei nº 6.385</w:t>
      </w:r>
      <w:r w:rsidR="002871ED">
        <w:t>,</w:t>
      </w:r>
      <w:r>
        <w:t xml:space="preserve"> de 7 de dezembro de 1976, sem prejuízo do disposto na </w:t>
      </w:r>
      <w:r w:rsidR="00F420AD">
        <w:t>Resol</w:t>
      </w:r>
      <w:r>
        <w:t>ução da CVM relativa aos registros de distribuição pública</w:t>
      </w:r>
      <w:r w:rsidR="005E7929">
        <w:t>:</w:t>
      </w:r>
    </w:p>
    <w:p w14:paraId="41DCF392" w14:textId="4FF0DCF5" w:rsidR="0089397F" w:rsidRPr="00585479" w:rsidRDefault="0089397F" w:rsidP="00585479">
      <w:pPr>
        <w:rPr>
          <w:color w:val="000000"/>
        </w:rPr>
      </w:pPr>
      <w:r w:rsidRPr="00585479">
        <w:rPr>
          <w:color w:val="000000"/>
        </w:rPr>
        <w:t xml:space="preserve">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a</w:t>
      </w:r>
      <w:proofErr w:type="gramEnd"/>
      <w:r w:rsidRPr="00585479">
        <w:rPr>
          <w:color w:val="000000"/>
        </w:rPr>
        <w:t xml:space="preserve"> afirmação inverídica acerca da destinação dos recursos obtidos com a alienação de CEPAC, bem como </w:t>
      </w:r>
      <w:r w:rsidR="008D5243">
        <w:rPr>
          <w:color w:val="000000"/>
        </w:rPr>
        <w:t>a</w:t>
      </w:r>
      <w:r w:rsidR="008D5243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omissão no exercício da fiscalização e acompanhamento da intervenção por parte da instituição contratada pelo Município, na forma do </w:t>
      </w:r>
      <w:r w:rsidR="008D5243">
        <w:rPr>
          <w:color w:val="000000"/>
        </w:rPr>
        <w:t>art.</w:t>
      </w:r>
      <w:r w:rsidR="008D5243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11 desta </w:t>
      </w:r>
      <w:r w:rsidR="00F420AD">
        <w:rPr>
          <w:color w:val="000000"/>
        </w:rPr>
        <w:t>Resol</w:t>
      </w:r>
      <w:r>
        <w:rPr>
          <w:color w:val="000000"/>
        </w:rPr>
        <w:t>ução</w:t>
      </w:r>
      <w:r w:rsidRPr="00585479">
        <w:rPr>
          <w:color w:val="000000"/>
        </w:rPr>
        <w:t>;</w:t>
      </w:r>
    </w:p>
    <w:p w14:paraId="46035778" w14:textId="4EC22485" w:rsidR="0022635B" w:rsidRPr="00585479" w:rsidRDefault="0089397F" w:rsidP="00585479">
      <w:pPr>
        <w:rPr>
          <w:color w:val="000000"/>
        </w:rPr>
      </w:pPr>
      <w:r w:rsidRPr="00585479">
        <w:rPr>
          <w:color w:val="000000"/>
        </w:rPr>
        <w:t xml:space="preserve">II </w:t>
      </w:r>
      <w:r w:rsidR="007A76F7">
        <w:rPr>
          <w:color w:val="000000"/>
        </w:rPr>
        <w:t>–</w:t>
      </w:r>
      <w:r w:rsidRPr="00585479">
        <w:rPr>
          <w:color w:val="000000"/>
        </w:rPr>
        <w:t xml:space="preserve"> </w:t>
      </w:r>
      <w:proofErr w:type="gramStart"/>
      <w:r w:rsidRPr="00585479">
        <w:rPr>
          <w:color w:val="000000"/>
        </w:rPr>
        <w:t>o</w:t>
      </w:r>
      <w:proofErr w:type="gramEnd"/>
      <w:r w:rsidRPr="00585479">
        <w:rPr>
          <w:color w:val="000000"/>
        </w:rPr>
        <w:t xml:space="preserve"> descumprimento das disposições contidas nos </w:t>
      </w:r>
      <w:proofErr w:type="spellStart"/>
      <w:r w:rsidR="000317EC">
        <w:rPr>
          <w:color w:val="000000"/>
        </w:rPr>
        <w:t>arts</w:t>
      </w:r>
      <w:proofErr w:type="spellEnd"/>
      <w:r w:rsidR="000317EC">
        <w:rPr>
          <w:color w:val="000000"/>
        </w:rPr>
        <w:t>.</w:t>
      </w:r>
      <w:r w:rsidR="000317EC" w:rsidRPr="00585479">
        <w:rPr>
          <w:color w:val="000000"/>
        </w:rPr>
        <w:t xml:space="preserve"> </w:t>
      </w:r>
      <w:r w:rsidRPr="00585479">
        <w:rPr>
          <w:color w:val="000000"/>
        </w:rPr>
        <w:t xml:space="preserve">7º, incisos II e III, 9º e </w:t>
      </w:r>
      <w:r>
        <w:rPr>
          <w:color w:val="000000"/>
        </w:rPr>
        <w:t>1</w:t>
      </w:r>
      <w:r w:rsidR="002A4430">
        <w:rPr>
          <w:color w:val="000000"/>
        </w:rPr>
        <w:t>9</w:t>
      </w:r>
      <w:r w:rsidRPr="00585479">
        <w:rPr>
          <w:color w:val="000000"/>
        </w:rPr>
        <w:t>;</w:t>
      </w:r>
    </w:p>
    <w:p w14:paraId="4BAF550B" w14:textId="08FFD9C3" w:rsidR="0022635B" w:rsidRPr="00585479" w:rsidRDefault="0022635B" w:rsidP="00585479">
      <w:pPr>
        <w:pStyle w:val="Captulo"/>
        <w:rPr>
          <w:color w:val="000000"/>
        </w:rPr>
      </w:pPr>
      <w:r w:rsidRPr="0089397F">
        <w:t xml:space="preserve">Capítulo </w:t>
      </w:r>
      <w:r>
        <w:t>X</w:t>
      </w:r>
      <w:r w:rsidRPr="0089397F">
        <w:t xml:space="preserve"> </w:t>
      </w:r>
      <w:r w:rsidR="007A76F7">
        <w:t>–</w:t>
      </w:r>
      <w:r w:rsidRPr="0089397F">
        <w:t xml:space="preserve"> </w:t>
      </w:r>
      <w:r>
        <w:t>MULTA COMINATÓRIA</w:t>
      </w:r>
    </w:p>
    <w:p w14:paraId="47000A6B" w14:textId="5299C1E4" w:rsidR="0022635B" w:rsidRPr="00585479" w:rsidRDefault="0022635B" w:rsidP="00585479">
      <w:pPr>
        <w:spacing w:before="200" w:after="200"/>
      </w:pPr>
      <w:r w:rsidRPr="00585479">
        <w:t xml:space="preserve">Art. </w:t>
      </w:r>
      <w:r w:rsidRPr="006761EB">
        <w:t>2</w:t>
      </w:r>
      <w:r w:rsidR="008A756F">
        <w:t>1</w:t>
      </w:r>
      <w:r w:rsidRPr="00585479">
        <w:t xml:space="preserve">.  O Município fica sujeito à multa diária prevista na norma específica que trata de multas cominatórias em virtude do não atendimento dos prazos previstos no </w:t>
      </w:r>
      <w:r w:rsidR="000317EC">
        <w:t>art.</w:t>
      </w:r>
      <w:r w:rsidR="000317EC" w:rsidRPr="00585479">
        <w:t xml:space="preserve"> </w:t>
      </w:r>
      <w:r w:rsidRPr="00585479">
        <w:t xml:space="preserve">7º desta </w:t>
      </w:r>
      <w:r w:rsidR="00F420AD">
        <w:t>Resol</w:t>
      </w:r>
      <w:r w:rsidRPr="006761EB">
        <w:t>ução</w:t>
      </w:r>
      <w:r w:rsidRPr="00585479">
        <w:t>, sem prejuízo do disposto no art. 11 da Lei nº 6.385, de 1976.</w:t>
      </w:r>
    </w:p>
    <w:p w14:paraId="2520826E" w14:textId="080F3B37" w:rsidR="006E2484" w:rsidRDefault="006E2484" w:rsidP="00C1691E">
      <w:pPr>
        <w:pStyle w:val="Captulo"/>
      </w:pPr>
      <w:r>
        <w:t xml:space="preserve">Capítulo </w:t>
      </w:r>
      <w:r w:rsidR="00DB0515">
        <w:t>XI</w:t>
      </w:r>
      <w:r>
        <w:t xml:space="preserve"> – </w:t>
      </w:r>
      <w:r w:rsidR="0065401B">
        <w:t>Disposições Finais</w:t>
      </w:r>
    </w:p>
    <w:p w14:paraId="1B76ED9F" w14:textId="2B8E13D5" w:rsidR="0022635B" w:rsidRPr="00281A8B" w:rsidRDefault="0022635B" w:rsidP="00585479">
      <w:r w:rsidRPr="00281A8B">
        <w:rPr>
          <w:snapToGrid w:val="0"/>
        </w:rPr>
        <w:t>Art. 2</w:t>
      </w:r>
      <w:r w:rsidR="008A756F">
        <w:rPr>
          <w:snapToGrid w:val="0"/>
        </w:rPr>
        <w:t>2.</w:t>
      </w:r>
      <w:r w:rsidRPr="00281A8B">
        <w:rPr>
          <w:snapToGrid w:val="0"/>
        </w:rPr>
        <w:t xml:space="preserve">  </w:t>
      </w:r>
      <w:r w:rsidRPr="00281A8B">
        <w:t xml:space="preserve">Aplicam-se </w:t>
      </w:r>
      <w:r w:rsidR="00980A18">
        <w:t>aos CEPAC</w:t>
      </w:r>
      <w:r w:rsidRPr="00281A8B">
        <w:t>, no que couber, as disposições constantes da norma que trata das ofertas públicas de distribuição, em especial, no que se refere a:</w:t>
      </w:r>
    </w:p>
    <w:p w14:paraId="142E30CB" w14:textId="44F478CB" w:rsidR="0022635B" w:rsidRPr="00585479" w:rsidRDefault="0022635B" w:rsidP="00585479">
      <w:r w:rsidRPr="00585479">
        <w:t xml:space="preserve">I </w:t>
      </w:r>
      <w:r w:rsidR="007A76F7">
        <w:t>–</w:t>
      </w:r>
      <w:r w:rsidRPr="00585479">
        <w:t xml:space="preserve"> </w:t>
      </w:r>
      <w:proofErr w:type="gramStart"/>
      <w:r w:rsidRPr="00585479">
        <w:t>prazos</w:t>
      </w:r>
      <w:proofErr w:type="gramEnd"/>
      <w:r w:rsidRPr="00585479">
        <w:t xml:space="preserve"> de análise de registro;</w:t>
      </w:r>
    </w:p>
    <w:p w14:paraId="20E53CB4" w14:textId="7DA9BC5C" w:rsidR="0022635B" w:rsidRPr="00585479" w:rsidRDefault="0022635B" w:rsidP="00585479">
      <w:r w:rsidRPr="00585479">
        <w:t xml:space="preserve">II </w:t>
      </w:r>
      <w:r w:rsidR="007A76F7">
        <w:t>–</w:t>
      </w:r>
      <w:r w:rsidRPr="00585479">
        <w:t xml:space="preserve"> </w:t>
      </w:r>
      <w:proofErr w:type="gramStart"/>
      <w:r w:rsidRPr="00585479">
        <w:t>responsabilidades</w:t>
      </w:r>
      <w:proofErr w:type="gramEnd"/>
      <w:r w:rsidRPr="00585479">
        <w:t xml:space="preserve"> do ofertante e da instituição líder da distribuição; </w:t>
      </w:r>
    </w:p>
    <w:p w14:paraId="31B54AD4" w14:textId="2BB963DC" w:rsidR="0022635B" w:rsidRPr="00585479" w:rsidRDefault="0022635B" w:rsidP="00585479">
      <w:r w:rsidRPr="00585479">
        <w:t xml:space="preserve">III </w:t>
      </w:r>
      <w:r w:rsidR="007A76F7">
        <w:t>–</w:t>
      </w:r>
      <w:r w:rsidRPr="00585479">
        <w:t xml:space="preserve"> deferimento ou indeferimento do registro; e</w:t>
      </w:r>
    </w:p>
    <w:p w14:paraId="2F517D6A" w14:textId="19BAB685" w:rsidR="0022635B" w:rsidRPr="00585479" w:rsidRDefault="0022635B" w:rsidP="00585479">
      <w:r w:rsidRPr="00585479">
        <w:t xml:space="preserve">IV </w:t>
      </w:r>
      <w:r w:rsidR="007A76F7">
        <w:t>–</w:t>
      </w:r>
      <w:r w:rsidRPr="00585479">
        <w:t xml:space="preserve"> </w:t>
      </w:r>
      <w:proofErr w:type="gramStart"/>
      <w:r w:rsidRPr="00585479">
        <w:t>suspensão</w:t>
      </w:r>
      <w:proofErr w:type="gramEnd"/>
      <w:r w:rsidRPr="00585479">
        <w:t xml:space="preserve"> ou cancelamento do registro de distribuição.</w:t>
      </w:r>
    </w:p>
    <w:p w14:paraId="0A40C4D6" w14:textId="6AF84F56" w:rsidR="0022635B" w:rsidRDefault="0022635B" w:rsidP="00585479">
      <w:r>
        <w:t xml:space="preserve">Parágrafo único.  </w:t>
      </w:r>
      <w:r w:rsidR="00AE4001">
        <w:t>Ficam duplicados os prazos para análise e deferimento do pedido de registro pela CVM p</w:t>
      </w:r>
      <w:r>
        <w:t xml:space="preserve">ara os registros de distribuição de CEPAC destinados à negociação secundária </w:t>
      </w:r>
      <w:r w:rsidR="00BA7B4B">
        <w:t>fora de ambientes</w:t>
      </w:r>
      <w:r w:rsidR="00F67950">
        <w:t xml:space="preserve"> de mercado organizados de valores mobiliários</w:t>
      </w:r>
      <w:r>
        <w:t xml:space="preserve">. </w:t>
      </w:r>
    </w:p>
    <w:p w14:paraId="71CC0833" w14:textId="21AB5FEE" w:rsidR="0022635B" w:rsidRDefault="0022635B" w:rsidP="00585479">
      <w:r>
        <w:t>Art. 2</w:t>
      </w:r>
      <w:r w:rsidR="008A756F">
        <w:t>3</w:t>
      </w:r>
      <w:r>
        <w:t xml:space="preserve">.  A CVM pode determinar que as informações </w:t>
      </w:r>
      <w:r w:rsidR="003A083B">
        <w:t xml:space="preserve">previstas nesta Resolução </w:t>
      </w:r>
      <w:r>
        <w:t xml:space="preserve">sejam apresentadas </w:t>
      </w:r>
      <w:r w:rsidR="00F67950">
        <w:t>por</w:t>
      </w:r>
      <w:r>
        <w:t xml:space="preserve"> meio eletrônico</w:t>
      </w:r>
      <w:r w:rsidR="003A083B">
        <w:t>.</w:t>
      </w:r>
    </w:p>
    <w:p w14:paraId="2F588020" w14:textId="7B81D670" w:rsidR="0022635B" w:rsidRPr="00585479" w:rsidRDefault="00085818" w:rsidP="00585479">
      <w:r>
        <w:t>Parágrafo único.</w:t>
      </w:r>
      <w:r w:rsidR="0022635B" w:rsidRPr="00585479">
        <w:t xml:space="preserve">  Para fins do disposto nesta </w:t>
      </w:r>
      <w:r w:rsidR="00DB0515">
        <w:t>Resol</w:t>
      </w:r>
      <w:r w:rsidR="0022635B">
        <w:t>ução</w:t>
      </w:r>
      <w:r w:rsidR="0022635B" w:rsidRPr="00585479">
        <w:t>, considera-se o correio eletrônico como uma forma de correspondência válida entre o Município e os detentores de CEPAC.</w:t>
      </w:r>
    </w:p>
    <w:p w14:paraId="27F949EB" w14:textId="3F0C87CA" w:rsidR="00AE4001" w:rsidRDefault="008A756F" w:rsidP="00DB0515">
      <w:pPr>
        <w:rPr>
          <w:lang w:eastAsia="pt-BR"/>
        </w:rPr>
      </w:pPr>
      <w:r>
        <w:lastRenderedPageBreak/>
        <w:t xml:space="preserve">Art. 24.  </w:t>
      </w:r>
      <w:r>
        <w:rPr>
          <w:lang w:eastAsia="pt-BR"/>
        </w:rPr>
        <w:t>Ficam revogadas</w:t>
      </w:r>
      <w:r w:rsidR="00AE4001">
        <w:rPr>
          <w:lang w:eastAsia="pt-BR"/>
        </w:rPr>
        <w:t>:</w:t>
      </w:r>
      <w:r>
        <w:rPr>
          <w:lang w:eastAsia="pt-BR"/>
        </w:rPr>
        <w:t xml:space="preserve"> </w:t>
      </w:r>
    </w:p>
    <w:p w14:paraId="299B8B5A" w14:textId="2DEF5DB1" w:rsidR="00AE4001" w:rsidRDefault="00AE4001" w:rsidP="00DB0515">
      <w:pPr>
        <w:rPr>
          <w:lang w:eastAsia="pt-BR"/>
        </w:rPr>
      </w:pPr>
      <w:r>
        <w:rPr>
          <w:lang w:eastAsia="pt-BR"/>
        </w:rPr>
        <w:t xml:space="preserve">I – </w:t>
      </w:r>
      <w:proofErr w:type="gramStart"/>
      <w:r w:rsidR="008A756F">
        <w:rPr>
          <w:lang w:eastAsia="pt-BR"/>
        </w:rPr>
        <w:t>a</w:t>
      </w:r>
      <w:proofErr w:type="gramEnd"/>
      <w:r w:rsidR="008A756F">
        <w:rPr>
          <w:lang w:eastAsia="pt-BR"/>
        </w:rPr>
        <w:t xml:space="preserve"> </w:t>
      </w:r>
      <w:r>
        <w:rPr>
          <w:lang w:eastAsia="pt-BR"/>
        </w:rPr>
        <w:t xml:space="preserve">Instrução </w:t>
      </w:r>
      <w:r w:rsidR="00FA0B73">
        <w:rPr>
          <w:lang w:eastAsia="pt-BR"/>
        </w:rPr>
        <w:t xml:space="preserve">CVM </w:t>
      </w:r>
      <w:r w:rsidR="008A756F">
        <w:rPr>
          <w:lang w:eastAsia="pt-BR"/>
        </w:rPr>
        <w:t>nº 401, de 29 de dezembro de 2003</w:t>
      </w:r>
      <w:r>
        <w:rPr>
          <w:lang w:eastAsia="pt-BR"/>
        </w:rPr>
        <w:t>;</w:t>
      </w:r>
      <w:r w:rsidR="00FA0B73">
        <w:rPr>
          <w:lang w:eastAsia="pt-BR"/>
        </w:rPr>
        <w:t xml:space="preserve"> e </w:t>
      </w:r>
    </w:p>
    <w:p w14:paraId="52A32767" w14:textId="304432CC" w:rsidR="008A756F" w:rsidRDefault="00AE4001" w:rsidP="00DB0515">
      <w:pPr>
        <w:rPr>
          <w:lang w:eastAsia="pt-BR"/>
        </w:rPr>
      </w:pPr>
      <w:r>
        <w:rPr>
          <w:lang w:eastAsia="pt-BR"/>
        </w:rPr>
        <w:t xml:space="preserve">II – </w:t>
      </w:r>
      <w:proofErr w:type="gramStart"/>
      <w:r>
        <w:rPr>
          <w:lang w:eastAsia="pt-BR"/>
        </w:rPr>
        <w:t>a</w:t>
      </w:r>
      <w:proofErr w:type="gramEnd"/>
      <w:r>
        <w:rPr>
          <w:lang w:eastAsia="pt-BR"/>
        </w:rPr>
        <w:t xml:space="preserve"> Instrução CVM </w:t>
      </w:r>
      <w:r w:rsidR="001F2191">
        <w:rPr>
          <w:lang w:eastAsia="pt-BR"/>
        </w:rPr>
        <w:t>nº 550, de 17 de julho de 2014</w:t>
      </w:r>
      <w:r w:rsidR="00FA0B73">
        <w:rPr>
          <w:lang w:eastAsia="pt-BR"/>
        </w:rPr>
        <w:t>.</w:t>
      </w:r>
    </w:p>
    <w:p w14:paraId="713825D6" w14:textId="59ACA072" w:rsidR="0022635B" w:rsidRDefault="0022635B" w:rsidP="00DB0515">
      <w:r>
        <w:t>Art. 2</w:t>
      </w:r>
      <w:r w:rsidR="008A756F">
        <w:t>5</w:t>
      </w:r>
      <w:r>
        <w:t xml:space="preserve">.  Esta </w:t>
      </w:r>
      <w:r w:rsidR="00DB0515">
        <w:t>Resol</w:t>
      </w:r>
      <w:r>
        <w:t xml:space="preserve">ução entra em vigor </w:t>
      </w:r>
      <w:r w:rsidR="00770966">
        <w:t>em 2 de maio de 2022</w:t>
      </w:r>
      <w:r>
        <w:t>.</w:t>
      </w:r>
    </w:p>
    <w:p w14:paraId="33BE029C" w14:textId="77777777" w:rsidR="0022635B" w:rsidRPr="0022635B" w:rsidRDefault="0022635B" w:rsidP="0022635B"/>
    <w:p w14:paraId="0BD5867D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99517B8" w14:textId="05CEA5F4" w:rsidR="00E25581" w:rsidRPr="00E25581" w:rsidRDefault="00F616DF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4F585E9D" w14:textId="365D3533" w:rsidR="00ED1FB4" w:rsidRPr="00585479" w:rsidRDefault="00E25581" w:rsidP="00585479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ED1FB4" w:rsidRPr="00585479" w:rsidSect="00585479">
      <w:headerReference w:type="even" r:id="rId13"/>
      <w:headerReference w:type="default" r:id="rId14"/>
      <w:headerReference w:type="first" r:id="rId15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CAB2E" w14:textId="77777777" w:rsidR="00DA1AC3" w:rsidRDefault="00DA1AC3" w:rsidP="00ED1FB4">
      <w:r>
        <w:separator/>
      </w:r>
    </w:p>
  </w:endnote>
  <w:endnote w:type="continuationSeparator" w:id="0">
    <w:p w14:paraId="5326E4C3" w14:textId="77777777" w:rsidR="00DA1AC3" w:rsidRDefault="00DA1AC3" w:rsidP="00ED1FB4">
      <w:r>
        <w:continuationSeparator/>
      </w:r>
    </w:p>
  </w:endnote>
  <w:endnote w:type="continuationNotice" w:id="1">
    <w:p w14:paraId="5396B747" w14:textId="77777777" w:rsidR="00DA1AC3" w:rsidRDefault="00DA1AC3" w:rsidP="0058547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BFB4" w14:textId="77777777" w:rsidR="00DA1AC3" w:rsidRDefault="00DA1AC3" w:rsidP="00ED1FB4">
      <w:r>
        <w:separator/>
      </w:r>
    </w:p>
  </w:footnote>
  <w:footnote w:type="continuationSeparator" w:id="0">
    <w:p w14:paraId="34EF56AF" w14:textId="77777777" w:rsidR="00DA1AC3" w:rsidRDefault="00DA1AC3" w:rsidP="00ED1FB4">
      <w:r>
        <w:continuationSeparator/>
      </w:r>
    </w:p>
  </w:footnote>
  <w:footnote w:type="continuationNotice" w:id="1">
    <w:p w14:paraId="2DC64382" w14:textId="77777777" w:rsidR="00DA1AC3" w:rsidRDefault="00DA1AC3" w:rsidP="0058547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98A5" w14:textId="77777777" w:rsidR="00585479" w:rsidRDefault="00585479" w:rsidP="005854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103F" w14:textId="51C00655" w:rsidR="005D2C60" w:rsidRPr="00ED1FB4" w:rsidRDefault="005D2C60" w:rsidP="004D68A2">
    <w:pPr>
      <w:pStyle w:val="Rodap"/>
    </w:pPr>
    <w:r w:rsidRPr="00ED1FB4">
      <w:drawing>
        <wp:inline distT="0" distB="0" distL="0" distR="0" wp14:anchorId="10503463" wp14:editId="6FF662A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7B22A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2EDD58A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925B35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365D46BB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6F3ABE" w14:textId="77777777" w:rsidR="005D2C60" w:rsidRDefault="00605E8E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D2D5773" w14:textId="00D12F1E" w:rsidR="00E25581" w:rsidRPr="00585479" w:rsidRDefault="00E25581" w:rsidP="00585479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4DD78D85C81F45C081D8ABA2FAC2E9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0E95">
          <w:rPr>
            <w:caps/>
          </w:rPr>
          <w:t>84, de 31 de março de 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DCF6" w14:textId="397AAAE1" w:rsidR="009B69B0" w:rsidRPr="00ED1FB4" w:rsidRDefault="009B69B0" w:rsidP="009B69B0">
    <w:pPr>
      <w:pStyle w:val="Rodap"/>
    </w:pPr>
    <w:r w:rsidRPr="00ED1FB4">
      <w:drawing>
        <wp:inline distT="0" distB="0" distL="0" distR="0" wp14:anchorId="5A336C58" wp14:editId="01D0577F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7C79E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5A1FB14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229D95A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0A84162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853BD4E" w14:textId="77777777" w:rsidR="009B69B0" w:rsidRDefault="00605E8E" w:rsidP="00585479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5C6A57"/>
    <w:multiLevelType w:val="singleLevel"/>
    <w:tmpl w:val="85464EF8"/>
    <w:lvl w:ilvl="0">
      <w:start w:val="9"/>
      <w:numFmt w:val="ordinal"/>
      <w:lvlText w:val="Art. %1 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4" w15:restartNumberingAfterBreak="0">
    <w:nsid w:val="04044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2A5BB5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35575C"/>
    <w:multiLevelType w:val="singleLevel"/>
    <w:tmpl w:val="271EFBEC"/>
    <w:lvl w:ilvl="0">
      <w:start w:val="13"/>
      <w:numFmt w:val="decimal"/>
      <w:lvlText w:val="Art. %1 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A8B39C0"/>
    <w:multiLevelType w:val="hybridMultilevel"/>
    <w:tmpl w:val="59B861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802EC"/>
    <w:multiLevelType w:val="singleLevel"/>
    <w:tmpl w:val="FDF2CF0E"/>
    <w:lvl w:ilvl="0">
      <w:start w:val="6"/>
      <w:numFmt w:val="ordinal"/>
      <w:lvlText w:val="Art. %1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9" w15:restartNumberingAfterBreak="0">
    <w:nsid w:val="22FD79F2"/>
    <w:multiLevelType w:val="singleLevel"/>
    <w:tmpl w:val="22741A10"/>
    <w:lvl w:ilvl="0">
      <w:start w:val="10"/>
      <w:numFmt w:val="decimal"/>
      <w:lvlText w:val="Art. %1 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0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2EE37A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C844C6"/>
    <w:multiLevelType w:val="singleLevel"/>
    <w:tmpl w:val="6E60DBFC"/>
    <w:lvl w:ilvl="0">
      <w:start w:val="1"/>
      <w:numFmt w:val="upperRoman"/>
      <w:lvlText w:val=" %1 - "/>
      <w:lvlJc w:val="left"/>
      <w:pPr>
        <w:tabs>
          <w:tab w:val="num" w:pos="1080"/>
        </w:tabs>
        <w:ind w:left="720" w:hanging="720"/>
      </w:pPr>
    </w:lvl>
  </w:abstractNum>
  <w:abstractNum w:abstractNumId="13" w15:restartNumberingAfterBreak="0">
    <w:nsid w:val="385D0BEE"/>
    <w:multiLevelType w:val="singleLevel"/>
    <w:tmpl w:val="6F4411A6"/>
    <w:lvl w:ilvl="0">
      <w:start w:val="1"/>
      <w:numFmt w:val="upperRoman"/>
      <w:lvlText w:val="%1 - "/>
      <w:lvlJc w:val="left"/>
      <w:pPr>
        <w:tabs>
          <w:tab w:val="num" w:pos="720"/>
        </w:tabs>
        <w:ind w:left="0" w:firstLine="0"/>
      </w:pPr>
    </w:lvl>
  </w:abstractNum>
  <w:abstractNum w:abstractNumId="14" w15:restartNumberingAfterBreak="0">
    <w:nsid w:val="38D62870"/>
    <w:multiLevelType w:val="singleLevel"/>
    <w:tmpl w:val="C19876D0"/>
    <w:lvl w:ilvl="0">
      <w:start w:val="10"/>
      <w:numFmt w:val="decimal"/>
      <w:lvlText w:val="Art. %1 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5" w15:restartNumberingAfterBreak="0">
    <w:nsid w:val="3F2A0132"/>
    <w:multiLevelType w:val="singleLevel"/>
    <w:tmpl w:val="1AA8DF5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86C9F"/>
    <w:multiLevelType w:val="singleLevel"/>
    <w:tmpl w:val="A3906426"/>
    <w:lvl w:ilvl="0">
      <w:start w:val="8"/>
      <w:numFmt w:val="ordinal"/>
      <w:lvlText w:val="Art. %1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D1064"/>
    <w:multiLevelType w:val="singleLevel"/>
    <w:tmpl w:val="75B65B9A"/>
    <w:lvl w:ilvl="0">
      <w:start w:val="14"/>
      <w:numFmt w:val="decimal"/>
      <w:lvlText w:val="Art. %1 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9" w15:restartNumberingAfterBreak="0">
    <w:nsid w:val="54DB23FB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1" w15:restartNumberingAfterBreak="0">
    <w:nsid w:val="58DD5246"/>
    <w:multiLevelType w:val="hybridMultilevel"/>
    <w:tmpl w:val="1D9C2B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05D59"/>
    <w:multiLevelType w:val="singleLevel"/>
    <w:tmpl w:val="D43EDFB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C24226"/>
    <w:multiLevelType w:val="singleLevel"/>
    <w:tmpl w:val="479C86E4"/>
    <w:lvl w:ilvl="0">
      <w:start w:val="1"/>
      <w:numFmt w:val="ordinal"/>
      <w:lvlText w:val="Art. %1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4" w15:restartNumberingAfterBreak="0">
    <w:nsid w:val="604F73C5"/>
    <w:multiLevelType w:val="singleLevel"/>
    <w:tmpl w:val="5BD69A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63F555A"/>
    <w:multiLevelType w:val="singleLevel"/>
    <w:tmpl w:val="479C86E4"/>
    <w:lvl w:ilvl="0">
      <w:start w:val="1"/>
      <w:numFmt w:val="ordinal"/>
      <w:lvlText w:val="Art. %1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6" w15:restartNumberingAfterBreak="0">
    <w:nsid w:val="75BB6168"/>
    <w:multiLevelType w:val="singleLevel"/>
    <w:tmpl w:val="49B038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76DD4FE0"/>
    <w:multiLevelType w:val="singleLevel"/>
    <w:tmpl w:val="6E60DBFC"/>
    <w:lvl w:ilvl="0">
      <w:start w:val="1"/>
      <w:numFmt w:val="upperRoman"/>
      <w:lvlText w:val=" %1 - "/>
      <w:lvlJc w:val="left"/>
      <w:pPr>
        <w:tabs>
          <w:tab w:val="num" w:pos="1080"/>
        </w:tabs>
        <w:ind w:left="720" w:hanging="720"/>
      </w:pPr>
    </w:lvl>
  </w:abstractNum>
  <w:abstractNum w:abstractNumId="28" w15:restartNumberingAfterBreak="0">
    <w:nsid w:val="7C2B5883"/>
    <w:multiLevelType w:val="singleLevel"/>
    <w:tmpl w:val="6E60DBFC"/>
    <w:lvl w:ilvl="0">
      <w:start w:val="1"/>
      <w:numFmt w:val="upperRoman"/>
      <w:lvlText w:val=" %1 - "/>
      <w:lvlJc w:val="left"/>
      <w:pPr>
        <w:tabs>
          <w:tab w:val="num" w:pos="1080"/>
        </w:tabs>
        <w:ind w:left="720" w:hanging="72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24"/>
  </w:num>
  <w:num w:numId="8">
    <w:abstractNumId w:val="26"/>
  </w:num>
  <w:num w:numId="9">
    <w:abstractNumId w:val="23"/>
  </w:num>
  <w:num w:numId="10">
    <w:abstractNumId w:val="9"/>
  </w:num>
  <w:num w:numId="11">
    <w:abstractNumId w:val="4"/>
  </w:num>
  <w:num w:numId="12">
    <w:abstractNumId w:val="27"/>
  </w:num>
  <w:num w:numId="13">
    <w:abstractNumId w:val="5"/>
  </w:num>
  <w:num w:numId="14">
    <w:abstractNumId w:val="15"/>
  </w:num>
  <w:num w:numId="15">
    <w:abstractNumId w:val="12"/>
  </w:num>
  <w:num w:numId="16">
    <w:abstractNumId w:val="11"/>
  </w:num>
  <w:num w:numId="17">
    <w:abstractNumId w:val="3"/>
  </w:num>
  <w:num w:numId="18">
    <w:abstractNumId w:val="19"/>
  </w:num>
  <w:num w:numId="19">
    <w:abstractNumId w:val="28"/>
  </w:num>
  <w:num w:numId="20">
    <w:abstractNumId w:val="13"/>
  </w:num>
  <w:num w:numId="21">
    <w:abstractNumId w:val="25"/>
  </w:num>
  <w:num w:numId="22">
    <w:abstractNumId w:val="8"/>
  </w:num>
  <w:num w:numId="23">
    <w:abstractNumId w:val="16"/>
  </w:num>
  <w:num w:numId="24">
    <w:abstractNumId w:val="14"/>
  </w:num>
  <w:num w:numId="25">
    <w:abstractNumId w:val="6"/>
  </w:num>
  <w:num w:numId="26">
    <w:abstractNumId w:val="18"/>
  </w:num>
  <w:num w:numId="27">
    <w:abstractNumId w:val="2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7"/>
    <w:rsid w:val="000100F1"/>
    <w:rsid w:val="00024474"/>
    <w:rsid w:val="000317EC"/>
    <w:rsid w:val="000371C2"/>
    <w:rsid w:val="000373A1"/>
    <w:rsid w:val="00080E17"/>
    <w:rsid w:val="00082BE8"/>
    <w:rsid w:val="00085818"/>
    <w:rsid w:val="000A1348"/>
    <w:rsid w:val="000E5AC4"/>
    <w:rsid w:val="001228B0"/>
    <w:rsid w:val="00146B3F"/>
    <w:rsid w:val="00190717"/>
    <w:rsid w:val="00195ECA"/>
    <w:rsid w:val="00197E39"/>
    <w:rsid w:val="001B06D7"/>
    <w:rsid w:val="001B0D58"/>
    <w:rsid w:val="001E0083"/>
    <w:rsid w:val="001F2191"/>
    <w:rsid w:val="002074B7"/>
    <w:rsid w:val="0022635B"/>
    <w:rsid w:val="0024380F"/>
    <w:rsid w:val="0024614E"/>
    <w:rsid w:val="002871ED"/>
    <w:rsid w:val="002909BC"/>
    <w:rsid w:val="002A4430"/>
    <w:rsid w:val="002B12F2"/>
    <w:rsid w:val="002F1D96"/>
    <w:rsid w:val="00306F9A"/>
    <w:rsid w:val="00314DCF"/>
    <w:rsid w:val="003353CF"/>
    <w:rsid w:val="0037545E"/>
    <w:rsid w:val="00385272"/>
    <w:rsid w:val="003A083B"/>
    <w:rsid w:val="003B2E03"/>
    <w:rsid w:val="003C4B8F"/>
    <w:rsid w:val="003E7357"/>
    <w:rsid w:val="00413B7D"/>
    <w:rsid w:val="0041797C"/>
    <w:rsid w:val="00454103"/>
    <w:rsid w:val="004561E9"/>
    <w:rsid w:val="00472636"/>
    <w:rsid w:val="00480DEC"/>
    <w:rsid w:val="00493E40"/>
    <w:rsid w:val="004B7140"/>
    <w:rsid w:val="004C55E5"/>
    <w:rsid w:val="004D68A2"/>
    <w:rsid w:val="00507ACC"/>
    <w:rsid w:val="00513923"/>
    <w:rsid w:val="00547A76"/>
    <w:rsid w:val="005527A6"/>
    <w:rsid w:val="00585479"/>
    <w:rsid w:val="00597C08"/>
    <w:rsid w:val="005C12BE"/>
    <w:rsid w:val="005C745F"/>
    <w:rsid w:val="005D0FA1"/>
    <w:rsid w:val="005D2C60"/>
    <w:rsid w:val="005E07BE"/>
    <w:rsid w:val="005E7929"/>
    <w:rsid w:val="006052EF"/>
    <w:rsid w:val="00605E8E"/>
    <w:rsid w:val="006270DF"/>
    <w:rsid w:val="0065401B"/>
    <w:rsid w:val="0065602B"/>
    <w:rsid w:val="00657B55"/>
    <w:rsid w:val="006761EB"/>
    <w:rsid w:val="006A3309"/>
    <w:rsid w:val="006B33D9"/>
    <w:rsid w:val="006B76C0"/>
    <w:rsid w:val="006E1563"/>
    <w:rsid w:val="006E1797"/>
    <w:rsid w:val="006E2484"/>
    <w:rsid w:val="006E261D"/>
    <w:rsid w:val="00703ED6"/>
    <w:rsid w:val="00727062"/>
    <w:rsid w:val="00737389"/>
    <w:rsid w:val="0075665B"/>
    <w:rsid w:val="00766278"/>
    <w:rsid w:val="00770966"/>
    <w:rsid w:val="00773C11"/>
    <w:rsid w:val="00775DFE"/>
    <w:rsid w:val="007A76F7"/>
    <w:rsid w:val="007C24C5"/>
    <w:rsid w:val="00800D0D"/>
    <w:rsid w:val="0081067E"/>
    <w:rsid w:val="00814816"/>
    <w:rsid w:val="00817344"/>
    <w:rsid w:val="00841BBF"/>
    <w:rsid w:val="00864EFC"/>
    <w:rsid w:val="0088657A"/>
    <w:rsid w:val="00892945"/>
    <w:rsid w:val="0089397F"/>
    <w:rsid w:val="00894689"/>
    <w:rsid w:val="008A3304"/>
    <w:rsid w:val="008A4D1D"/>
    <w:rsid w:val="008A756F"/>
    <w:rsid w:val="008B1164"/>
    <w:rsid w:val="008D3178"/>
    <w:rsid w:val="008D5243"/>
    <w:rsid w:val="009010FE"/>
    <w:rsid w:val="00916A1E"/>
    <w:rsid w:val="00950A5D"/>
    <w:rsid w:val="00956E3B"/>
    <w:rsid w:val="009627F2"/>
    <w:rsid w:val="009705AC"/>
    <w:rsid w:val="00970E95"/>
    <w:rsid w:val="009768AB"/>
    <w:rsid w:val="00980A18"/>
    <w:rsid w:val="00990B1B"/>
    <w:rsid w:val="00992879"/>
    <w:rsid w:val="009A019C"/>
    <w:rsid w:val="009A26D7"/>
    <w:rsid w:val="009B4098"/>
    <w:rsid w:val="009B69B0"/>
    <w:rsid w:val="009D52CB"/>
    <w:rsid w:val="009E621A"/>
    <w:rsid w:val="009F0369"/>
    <w:rsid w:val="009F6FA8"/>
    <w:rsid w:val="00A03AE3"/>
    <w:rsid w:val="00A05722"/>
    <w:rsid w:val="00A14525"/>
    <w:rsid w:val="00A2426A"/>
    <w:rsid w:val="00A60936"/>
    <w:rsid w:val="00A60EDE"/>
    <w:rsid w:val="00AC65A2"/>
    <w:rsid w:val="00AC7E32"/>
    <w:rsid w:val="00AE4001"/>
    <w:rsid w:val="00B14F3F"/>
    <w:rsid w:val="00B35CFD"/>
    <w:rsid w:val="00B445DD"/>
    <w:rsid w:val="00B53897"/>
    <w:rsid w:val="00BA7B4B"/>
    <w:rsid w:val="00BB6E16"/>
    <w:rsid w:val="00BC6747"/>
    <w:rsid w:val="00C04BB2"/>
    <w:rsid w:val="00C1691E"/>
    <w:rsid w:val="00C211AA"/>
    <w:rsid w:val="00C24B4C"/>
    <w:rsid w:val="00C252B2"/>
    <w:rsid w:val="00C3231A"/>
    <w:rsid w:val="00C5447C"/>
    <w:rsid w:val="00C66C7E"/>
    <w:rsid w:val="00C73D2B"/>
    <w:rsid w:val="00C82C89"/>
    <w:rsid w:val="00CC6B71"/>
    <w:rsid w:val="00CD4846"/>
    <w:rsid w:val="00CF3230"/>
    <w:rsid w:val="00D013CB"/>
    <w:rsid w:val="00D21117"/>
    <w:rsid w:val="00D563FF"/>
    <w:rsid w:val="00D61F8D"/>
    <w:rsid w:val="00DA1AC3"/>
    <w:rsid w:val="00DB0515"/>
    <w:rsid w:val="00DD223C"/>
    <w:rsid w:val="00E136DD"/>
    <w:rsid w:val="00E23995"/>
    <w:rsid w:val="00E25581"/>
    <w:rsid w:val="00E42EE0"/>
    <w:rsid w:val="00E60C16"/>
    <w:rsid w:val="00E87735"/>
    <w:rsid w:val="00EA436F"/>
    <w:rsid w:val="00EB7080"/>
    <w:rsid w:val="00ED1FB4"/>
    <w:rsid w:val="00EF0E46"/>
    <w:rsid w:val="00EF30F3"/>
    <w:rsid w:val="00F3457F"/>
    <w:rsid w:val="00F420AD"/>
    <w:rsid w:val="00F5081E"/>
    <w:rsid w:val="00F56F21"/>
    <w:rsid w:val="00F616DF"/>
    <w:rsid w:val="00F67950"/>
    <w:rsid w:val="00F83EB4"/>
    <w:rsid w:val="00F875D5"/>
    <w:rsid w:val="00F91C4B"/>
    <w:rsid w:val="00FA0B73"/>
    <w:rsid w:val="00FA29E1"/>
    <w:rsid w:val="00FB25BB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FCD99"/>
  <w15:docId w15:val="{59730E01-0A37-450B-A60D-45191C3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79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85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85479"/>
    <w:pPr>
      <w:keepNext/>
      <w:spacing w:before="0"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i/>
      <w:iCs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85479"/>
    <w:pPr>
      <w:keepNext/>
      <w:spacing w:before="0" w:after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85479"/>
    <w:pPr>
      <w:keepNext/>
      <w:spacing w:before="200" w:after="20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85479"/>
    <w:pPr>
      <w:keepNext/>
      <w:spacing w:before="200" w:after="20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585479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58547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qFormat/>
    <w:rsid w:val="00D013CB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rsid w:val="00585479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B6E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5479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1228B0"/>
    <w:rPr>
      <w:rFonts w:cs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85479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60936"/>
    <w:rPr>
      <w:rFonts w:cstheme="minorHAnsi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585479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80DEC"/>
    <w:rPr>
      <w:rFonts w:cstheme="minorHAnsi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5479"/>
  </w:style>
  <w:style w:type="character" w:customStyle="1" w:styleId="CorpodetextoChar">
    <w:name w:val="Corpo de texto Char"/>
    <w:basedOn w:val="Fontepargpadro"/>
    <w:link w:val="Corpodetexto"/>
    <w:semiHidden/>
    <w:rsid w:val="0089397F"/>
    <w:rPr>
      <w:rFonts w:cstheme="minorHAnsi"/>
      <w:sz w:val="24"/>
      <w:szCs w:val="24"/>
    </w:rPr>
  </w:style>
  <w:style w:type="paragraph" w:styleId="NormalWeb">
    <w:name w:val="Normal (Web)"/>
    <w:basedOn w:val="Normal"/>
    <w:rsid w:val="00585479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customStyle="1" w:styleId="SDM">
    <w:name w:val="SDM"/>
    <w:basedOn w:val="Normal"/>
    <w:rsid w:val="0058547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paragraph" w:styleId="Reviso">
    <w:name w:val="Revision"/>
    <w:hidden/>
    <w:uiPriority w:val="99"/>
    <w:semiHidden/>
    <w:rsid w:val="00F616DF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6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1F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1F8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1F8D"/>
    <w:rPr>
      <w:rFonts w:cstheme="minorHAnsi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585479"/>
    <w:rPr>
      <w:rFonts w:ascii="Times New Roman" w:eastAsia="Times New Roman" w:hAnsi="Times New Roman" w:cs="Times New Roman"/>
      <w:i/>
      <w:i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854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5479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85479"/>
    <w:rPr>
      <w:rFonts w:ascii="Times New Roman" w:eastAsia="Times New Roman" w:hAnsi="Times New Roman" w:cs="Times New Roman"/>
      <w:bCs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58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4035CAC2574F9AA7BD38C7C2E2F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CD14-FAC5-4CE2-A805-94091A7A8AB6}"/>
      </w:docPartPr>
      <w:docPartBody>
        <w:p w:rsidR="002525B4" w:rsidRDefault="00A61CB6">
          <w:pPr>
            <w:pStyle w:val="464035CAC2574F9AA7BD38C7C2E2FC0D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DD78D85C81F45C081D8ABA2FAC2E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80FCF-21A3-49C5-A6D6-BCE6DD493C64}"/>
      </w:docPartPr>
      <w:docPartBody>
        <w:p w:rsidR="002525B4" w:rsidRDefault="00A61CB6">
          <w:pPr>
            <w:pStyle w:val="4DD78D85C81F45C081D8ABA2FAC2E9E1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B6"/>
    <w:rsid w:val="0001625A"/>
    <w:rsid w:val="001A5CDE"/>
    <w:rsid w:val="002525B4"/>
    <w:rsid w:val="002C39BA"/>
    <w:rsid w:val="00350F6C"/>
    <w:rsid w:val="007D193B"/>
    <w:rsid w:val="009A4484"/>
    <w:rsid w:val="009C06EB"/>
    <w:rsid w:val="00A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64035CAC2574F9AA7BD38C7C2E2FC0D">
    <w:name w:val="464035CAC2574F9AA7BD38C7C2E2FC0D"/>
  </w:style>
  <w:style w:type="paragraph" w:customStyle="1" w:styleId="4DD78D85C81F45C081D8ABA2FAC2E9E1">
    <w:name w:val="4DD78D85C81F45C081D8ABA2FAC2E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3" ma:contentTypeDescription="Create a new document." ma:contentTypeScope="" ma:versionID="d971a4d6ef23a54b50c0aa36f9994c6e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beb9fa652f09bd38cd7f270082fc2d3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E3B0B-319D-4F68-9309-555A24C68D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f007d275-fe71-4d9d-b733-955bb29c3f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6BCB77-956C-4E84-A5F7-26600A5A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9E20E-5821-45D3-AC26-57F50D549409}">
  <ds:schemaRefs>
    <ds:schemaRef ds:uri="http://schemas.microsoft.com/office/2006/documentManagement/types"/>
    <ds:schemaRef ds:uri="15cb24ba-756a-4ce4-ac9a-5f0544b5554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3adeefc-49af-490c-b6df-0a140ad55ab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0374C33-B7E4-41AE-8873-8DA9B56E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EA3A83-17D2-467B-9AEA-607BC2C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2973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84, de 31 de março de 2022</vt:lpstr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84, de 31 de março de 2022</dc:title>
  <dc:creator>Raphael Souza</dc:creator>
  <cp:lastModifiedBy>Antonio Carlos Berwanger</cp:lastModifiedBy>
  <cp:revision>2</cp:revision>
  <dcterms:created xsi:type="dcterms:W3CDTF">2022-03-30T17:24:00Z</dcterms:created>
  <dcterms:modified xsi:type="dcterms:W3CDTF">2022-03-30T17:24:00Z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  <property fmtid="{D5CDD505-2E9C-101B-9397-08002B2CF9AE}" pid="3" name="MAIL_MSG_ID1">
    <vt:lpwstr>CCAA6sHsCh+nbOu1MnQssawseyJFTi4buFL0RuVBR47Y7v2IPCvDB5vMk9DuDL5KB6H++WtSV0If+oxb_x000d_
uHLIt9gcadbKtG0dc5zzPHGLR7b0LFIRxW2WaY2fVBFvyhWEmD4s</vt:lpwstr>
  </property>
  <property fmtid="{D5CDD505-2E9C-101B-9397-08002B2CF9AE}" pid="4" name="RESPONSE_SENDER_NAME">
    <vt:lpwstr>4AAAUmLmXdMZevTfIfKvffE0lyTUuG3yldehlRIVAugix5xbojqpM7pppA==</vt:lpwstr>
  </property>
  <property fmtid="{D5CDD505-2E9C-101B-9397-08002B2CF9AE}" pid="5" name="EMAIL_OWNER_ADDRESS">
    <vt:lpwstr>sAAA2RgG6J6jCJ1//jjw5Zw8yz+TDinkBfmLbbyHgj9OdPo=</vt:lpwstr>
  </property>
</Properties>
</file>