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5B8E" w14:textId="4E1E1E84" w:rsidR="001A3685" w:rsidRPr="000952E3" w:rsidRDefault="001A3685" w:rsidP="00A33F81">
      <w:pPr>
        <w:pStyle w:val="TtulodaResoluo"/>
      </w:pPr>
      <w:r>
        <w:t xml:space="preserve">NOTA EXPLICATIVA À </w:t>
      </w:r>
      <w:r w:rsidR="003B5AB9">
        <w:t xml:space="preserve">RESOLUÇÃO </w:t>
      </w:r>
      <w:r>
        <w:t xml:space="preserve">CVM Nº </w:t>
      </w:r>
      <w:r w:rsidR="00A5A226">
        <w:t>50</w:t>
      </w:r>
      <w:r w:rsidR="00363A56">
        <w:t xml:space="preserve">, </w:t>
      </w:r>
      <w:r>
        <w:t xml:space="preserve">DE </w:t>
      </w:r>
      <w:r w:rsidR="003B5AB9">
        <w:t xml:space="preserve">31 </w:t>
      </w:r>
      <w:r>
        <w:t xml:space="preserve">DE </w:t>
      </w:r>
      <w:r w:rsidR="003B5AB9">
        <w:t xml:space="preserve">AGOSTO </w:t>
      </w:r>
      <w:r>
        <w:t>DE 20</w:t>
      </w:r>
      <w:r w:rsidR="003B5AB9">
        <w:t>21</w:t>
      </w:r>
    </w:p>
    <w:p w14:paraId="46B8FDC4" w14:textId="74BF6E38" w:rsidR="00487980" w:rsidRPr="000952E3" w:rsidRDefault="001A3685" w:rsidP="00A33F81">
      <w:pPr>
        <w:pStyle w:val="Ementa"/>
      </w:pPr>
      <w:r w:rsidRPr="000952E3">
        <w:t xml:space="preserve">Ref: </w:t>
      </w:r>
      <w:r w:rsidR="003B5AB9">
        <w:t>Resolução</w:t>
      </w:r>
      <w:r w:rsidR="00487980" w:rsidRPr="000952E3">
        <w:t xml:space="preserve"> CVM nº </w:t>
      </w:r>
      <w:r w:rsidR="00DE4C10">
        <w:t>50</w:t>
      </w:r>
      <w:r w:rsidR="008118EE">
        <w:rPr>
          <w:bCs/>
        </w:rPr>
        <w:t>, de 31 de agosto de 2021</w:t>
      </w:r>
      <w:r w:rsidR="00487980" w:rsidRPr="000952E3">
        <w:t xml:space="preserve"> que </w:t>
      </w:r>
      <w:r w:rsidR="007632E4" w:rsidRPr="000952E3">
        <w:t>dispõe</w:t>
      </w:r>
      <w:r w:rsidR="00487980" w:rsidRPr="000952E3">
        <w:t xml:space="preserve"> </w:t>
      </w:r>
      <w:r w:rsidR="00487980" w:rsidRPr="008118EE">
        <w:t>sobre</w:t>
      </w:r>
      <w:r w:rsidR="00487980" w:rsidRPr="000952E3">
        <w:t xml:space="preserve"> a prevenção à lavagem de dinheiro</w:t>
      </w:r>
      <w:r w:rsidR="003B5AB9">
        <w:t>,</w:t>
      </w:r>
      <w:r w:rsidR="00487980" w:rsidRPr="000952E3">
        <w:t xml:space="preserve"> ao financiamento do terrorismo </w:t>
      </w:r>
      <w:r w:rsidR="003B5AB9" w:rsidRPr="008118EE">
        <w:t>e ao financiamento da proliferação de armas de destruição em massa (PLD/FTP)</w:t>
      </w:r>
      <w:r w:rsidR="00487980" w:rsidRPr="000952E3">
        <w:t xml:space="preserve"> no âmbito do mercado de valores mobiliários.</w:t>
      </w:r>
      <w:r w:rsidR="00487980" w:rsidRPr="000952E3">
        <w:rPr>
          <w:color w:val="44546A"/>
        </w:rPr>
        <w:t xml:space="preserve"> </w:t>
      </w:r>
    </w:p>
    <w:p w14:paraId="1B728B34" w14:textId="7C3A64C8" w:rsidR="001A3685" w:rsidRPr="000952E3" w:rsidRDefault="001A3685" w:rsidP="00A33F81">
      <w:pPr>
        <w:pStyle w:val="Captulo"/>
        <w:rPr>
          <w:b/>
        </w:rPr>
      </w:pPr>
      <w:r w:rsidRPr="00A33F81">
        <w:t>INTRODUÇÃO</w:t>
      </w:r>
    </w:p>
    <w:p w14:paraId="525B27F4" w14:textId="56BC3243" w:rsidR="00B07FE0" w:rsidRPr="00DE4C10" w:rsidRDefault="003A5F56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 presente Nota Explicativa tem por objetivo fornecer esclarecimento</w:t>
      </w:r>
      <w:r w:rsidR="004B7CA0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mais detalhado</w:t>
      </w:r>
      <w:r w:rsidR="004B7CA0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acerca 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da </w:t>
      </w:r>
      <w:r w:rsidR="00044D9F" w:rsidRPr="00A33F81">
        <w:rPr>
          <w:rFonts w:ascii="Calibri" w:eastAsia="Calibri" w:hAnsi="Calibri" w:cs="Calibri"/>
          <w:sz w:val="24"/>
          <w:szCs w:val="24"/>
          <w:lang w:eastAsia="en-US"/>
        </w:rPr>
        <w:t>execu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ção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Resolução CVM nº </w:t>
      </w:r>
      <w:r w:rsidR="00DE4C10">
        <w:rPr>
          <w:rFonts w:ascii="Calibri" w:eastAsia="Calibri" w:hAnsi="Calibri" w:cs="Calibri"/>
          <w:sz w:val="24"/>
          <w:szCs w:val="24"/>
          <w:lang w:eastAsia="en-US"/>
        </w:rPr>
        <w:t>50</w:t>
      </w:r>
      <w:r w:rsidR="008118EE">
        <w:rPr>
          <w:rFonts w:ascii="Calibri" w:eastAsia="Calibri" w:hAnsi="Calibri" w:cs="Calibri"/>
          <w:sz w:val="24"/>
          <w:szCs w:val="24"/>
          <w:lang w:eastAsia="en-US"/>
        </w:rPr>
        <w:t>, de 31 de agosto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2021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 dentre as quais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destacam-se: </w:t>
      </w:r>
    </w:p>
    <w:p w14:paraId="606A9E82" w14:textId="34086FC8" w:rsidR="00743307" w:rsidRPr="00DE4C10" w:rsidRDefault="00B07FE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a) a inserção da Abordagem Baseada em Risco como principal ferramenta de governança da prevenção à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lavagem de dinheiro, ao financiamento do terrorismo e ao financiamento da proliferação de armas de destruição em massa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(P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), o que result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na necessidade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por parte dos agentes regulados: </w:t>
      </w:r>
    </w:p>
    <w:p w14:paraId="12602377" w14:textId="15325CBF" w:rsidR="00743307" w:rsidRPr="00DE4C10" w:rsidRDefault="008118EE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8118EE">
        <w:rPr>
          <w:rFonts w:ascii="Calibri" w:eastAsia="Calibri" w:hAnsi="Calibri" w:cs="Calibri"/>
          <w:sz w:val="24"/>
          <w:szCs w:val="24"/>
          <w:lang w:eastAsia="en-US"/>
        </w:rPr>
        <w:t xml:space="preserve">(i) 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estruturação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>e uma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Política de 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0D3D5763" w14:textId="6B7334CD" w:rsidR="00743307" w:rsidRPr="00DE4C10" w:rsidRDefault="008118EE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8118EE">
        <w:rPr>
          <w:rFonts w:ascii="Calibri" w:eastAsia="Calibri" w:hAnsi="Calibri" w:cs="Calibri"/>
          <w:sz w:val="24"/>
          <w:szCs w:val="24"/>
          <w:lang w:eastAsia="en-US"/>
        </w:rPr>
        <w:t xml:space="preserve">(ii) 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elaboração periódica de uma </w:t>
      </w:r>
      <w:r w:rsidR="00545EC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avaliação interna 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="00545EC8" w:rsidRPr="00A33F81">
        <w:rPr>
          <w:rFonts w:ascii="Calibri" w:eastAsia="Calibri" w:hAnsi="Calibri" w:cs="Calibri"/>
          <w:sz w:val="24"/>
          <w:szCs w:val="24"/>
          <w:lang w:eastAsia="en-US"/>
        </w:rPr>
        <w:t>risco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; </w:t>
      </w:r>
      <w:r w:rsidR="006D7B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</w:t>
      </w:r>
    </w:p>
    <w:p w14:paraId="054E2B90" w14:textId="0BA9BCBF" w:rsidR="00B07FE0" w:rsidRPr="00DE4C10" w:rsidRDefault="008118EE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8118EE">
        <w:rPr>
          <w:rFonts w:ascii="Calibri" w:eastAsia="Calibri" w:hAnsi="Calibri" w:cs="Calibri"/>
          <w:sz w:val="24"/>
          <w:szCs w:val="24"/>
          <w:lang w:eastAsia="en-US"/>
        </w:rPr>
        <w:t xml:space="preserve">(iii) 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reformulação </w:t>
      </w:r>
      <w:r w:rsidR="00E4601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suas 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>regras, procedimentos e controles internos;</w:t>
      </w:r>
    </w:p>
    <w:p w14:paraId="0286E237" w14:textId="77777777" w:rsidR="00896232" w:rsidRPr="00DE4C10" w:rsidRDefault="00B07FE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b) </w:t>
      </w:r>
      <w:r w:rsidR="004B2B36" w:rsidRPr="00A33F81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96232" w:rsidRPr="00A33F81">
        <w:rPr>
          <w:rFonts w:ascii="Calibri" w:eastAsia="Calibri" w:hAnsi="Calibri" w:cs="Calibri"/>
          <w:sz w:val="24"/>
          <w:szCs w:val="24"/>
          <w:lang w:eastAsia="en-US"/>
        </w:rPr>
        <w:t>aprimoramento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das funções do diretor responsável pela norma, bem como </w:t>
      </w:r>
      <w:r w:rsidR="0089623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apresentação de deveres vinculados 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>à</w:t>
      </w:r>
      <w:r w:rsidR="0089623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alta administração;</w:t>
      </w:r>
    </w:p>
    <w:p w14:paraId="3A197202" w14:textId="77777777" w:rsidR="00B07FE0" w:rsidRPr="00DE4C10" w:rsidRDefault="00896232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c) a </w:t>
      </w:r>
      <w:r w:rsidR="0087302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definição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das etapas vinculadas </w:t>
      </w:r>
      <w:r w:rsidR="0087302C" w:rsidRPr="00A33F81">
        <w:rPr>
          <w:rFonts w:ascii="Calibri" w:eastAsia="Calibri" w:hAnsi="Calibri" w:cs="Calibri"/>
          <w:sz w:val="24"/>
          <w:szCs w:val="24"/>
          <w:lang w:eastAsia="en-US"/>
        </w:rPr>
        <w:t>à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condução da Política 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“Conheça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seu Cliente”, incluindo o detalhamento das rotinas relacionadas ao pleno conhecimento do beneficiário final;</w:t>
      </w:r>
      <w:r w:rsidR="0015087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</w:t>
      </w:r>
      <w:r w:rsidR="00B07FE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</w:p>
    <w:p w14:paraId="58EAD23D" w14:textId="13E3E121" w:rsidR="00896232" w:rsidRPr="00DE4C10" w:rsidRDefault="00896232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d) o maior detalhamento dos sinais de alerta a serem monitorados</w:t>
      </w:r>
      <w:r w:rsidR="0087302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dos pontos que devem integrar a análise da operação ou situação atípica que foi detectada, assim como a apresentação dos elementos mínimos que devem integrar um reporte para </w:t>
      </w:r>
      <w:r w:rsidR="00B35513">
        <w:rPr>
          <w:rFonts w:ascii="Calibri" w:eastAsia="Calibri" w:hAnsi="Calibri" w:cs="Calibri"/>
          <w:sz w:val="24"/>
          <w:szCs w:val="24"/>
          <w:lang w:eastAsia="en-US"/>
        </w:rPr>
        <w:t>o Conselho de Controle de Atividades Financeiras</w:t>
      </w:r>
      <w:r w:rsidR="002D2956">
        <w:rPr>
          <w:rFonts w:ascii="Calibri" w:eastAsia="Calibri" w:hAnsi="Calibri" w:cs="Calibri"/>
          <w:sz w:val="24"/>
          <w:szCs w:val="24"/>
          <w:lang w:eastAsia="en-US"/>
        </w:rPr>
        <w:t xml:space="preserve"> – COAF.</w:t>
      </w:r>
    </w:p>
    <w:p w14:paraId="12746AAC" w14:textId="16FDA67A" w:rsidR="0099459F" w:rsidRPr="00DE4C10" w:rsidRDefault="004B7CA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Destaque-se que o</w:t>
      </w:r>
      <w:r w:rsidR="006B5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4645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conteúdo </w:t>
      </w:r>
      <w:r w:rsidR="006B5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desta Nota Explicativa </w:t>
      </w:r>
      <w:r w:rsidR="0064645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está </w:t>
      </w:r>
      <w:r w:rsidR="006B5307" w:rsidRPr="00A33F81">
        <w:rPr>
          <w:rFonts w:ascii="Calibri" w:eastAsia="Calibri" w:hAnsi="Calibri" w:cs="Calibri"/>
          <w:sz w:val="24"/>
          <w:szCs w:val="24"/>
          <w:lang w:eastAsia="en-US"/>
        </w:rPr>
        <w:t>alinhado com</w:t>
      </w:r>
      <w:r w:rsidR="0064645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Ofícios-C</w:t>
      </w:r>
      <w:r w:rsidR="0064645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irculares já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publicados pelas áreas técnicas da</w:t>
      </w:r>
      <w:r w:rsidR="0064645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CVM, assim como </w:t>
      </w:r>
      <w:r w:rsidR="006B5307" w:rsidRPr="00A33F81">
        <w:rPr>
          <w:rFonts w:ascii="Calibri" w:eastAsia="Calibri" w:hAnsi="Calibri" w:cs="Calibri"/>
          <w:sz w:val="24"/>
          <w:szCs w:val="24"/>
          <w:lang w:eastAsia="en-US"/>
        </w:rPr>
        <w:t>com</w:t>
      </w:r>
      <w:r w:rsidR="009E352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4645D" w:rsidRPr="00A33F81">
        <w:rPr>
          <w:rFonts w:ascii="Calibri" w:eastAsia="Calibri" w:hAnsi="Calibri" w:cs="Calibri"/>
          <w:sz w:val="24"/>
          <w:szCs w:val="24"/>
          <w:lang w:eastAsia="en-US"/>
        </w:rPr>
        <w:t>publicações do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GAFI </w:t>
      </w:r>
      <w:r w:rsidR="008559B0" w:rsidRPr="00A33F81">
        <w:rPr>
          <w:rFonts w:ascii="Calibri" w:eastAsia="Calibri" w:hAnsi="Calibri" w:cs="Calibri"/>
          <w:sz w:val="24"/>
          <w:szCs w:val="24"/>
          <w:lang w:eastAsia="en-US"/>
        </w:rPr>
        <w:t>e do Comitê de Basiléia.</w:t>
      </w:r>
      <w:r w:rsidR="0099459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Ademais, cabe alertar que a</w:t>
      </w:r>
      <w:r w:rsidR="0099459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edição desta Nota Explicativa não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restringe </w:t>
      </w:r>
      <w:r w:rsidR="0099459F" w:rsidRPr="00A33F81">
        <w:rPr>
          <w:rFonts w:ascii="Calibri" w:eastAsia="Calibri" w:hAnsi="Calibri" w:cs="Calibri"/>
          <w:sz w:val="24"/>
          <w:szCs w:val="24"/>
          <w:lang w:eastAsia="en-US"/>
        </w:rPr>
        <w:t>ou substitui a futura divulgação d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os Ofícios-C</w:t>
      </w:r>
      <w:r w:rsidR="0099459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irculares que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porventura </w:t>
      </w:r>
      <w:r w:rsidR="0099459F" w:rsidRPr="00A33F81">
        <w:rPr>
          <w:rFonts w:ascii="Calibri" w:eastAsia="Calibri" w:hAnsi="Calibri" w:cs="Calibri"/>
          <w:sz w:val="24"/>
          <w:szCs w:val="24"/>
          <w:lang w:eastAsia="en-US"/>
        </w:rPr>
        <w:t>se façam pertinentes.</w:t>
      </w:r>
    </w:p>
    <w:p w14:paraId="36D2FB1F" w14:textId="77777777" w:rsidR="0005218C" w:rsidRPr="00DE4C10" w:rsidRDefault="004B7CA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>Além des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>t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 breve introdução, o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documento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contém 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>três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capítulos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>, a saber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>: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7EA4A622" w14:textId="0CE1135A" w:rsidR="00091F6A" w:rsidRPr="00DE4C10" w:rsidRDefault="004B7CA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>Considerações sobre a Atuação do Diretor Responsável e da Alta Administração</w:t>
      </w:r>
      <w:r w:rsidR="009B3010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1D24EE27" w14:textId="4D4D2F72" w:rsidR="006B7F6B" w:rsidRPr="00DE4C10" w:rsidRDefault="006B7F6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) Regras, Procedimentos e Controles Internos; e</w:t>
      </w:r>
    </w:p>
    <w:p w14:paraId="2CD1222A" w14:textId="64F3E622" w:rsidR="00D73541" w:rsidRPr="00DE4C10" w:rsidRDefault="004B7CA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D7354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Política “Conheça seu Cliente”.</w:t>
      </w:r>
    </w:p>
    <w:p w14:paraId="3AA02CF9" w14:textId="6E99D6D7" w:rsidR="001A3685" w:rsidRPr="00A33F81" w:rsidRDefault="00034C82" w:rsidP="00A33F81">
      <w:pPr>
        <w:pStyle w:val="Captulo"/>
      </w:pPr>
      <w:r>
        <w:t>CONSIDERAÇÕES SOBRE A ATUAÇÃO DO DIRETOR RESPONSÁVEL E DA ALTA ADMINISTRAÇÃO</w:t>
      </w:r>
    </w:p>
    <w:p w14:paraId="0A70076C" w14:textId="0C0024E0" w:rsidR="00720BFE" w:rsidRPr="00DE4C10" w:rsidRDefault="00C1001C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 § 2º do </w:t>
      </w:r>
      <w:r w:rsidR="00B9014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art.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4º da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Resolução CVM 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 xml:space="preserve">nº </w:t>
      </w:r>
      <w:r w:rsidR="00DE4C10">
        <w:rPr>
          <w:rFonts w:ascii="Calibri" w:eastAsia="Calibri" w:hAnsi="Calibri" w:cs="Calibri"/>
          <w:sz w:val="24"/>
          <w:szCs w:val="24"/>
          <w:lang w:eastAsia="en-US"/>
        </w:rPr>
        <w:t>50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E7456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2021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estabelece que as pessoas </w:t>
      </w:r>
      <w:r w:rsidR="00A91B9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jurídicas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mencionadas nos incisos I e III do art. 3º que pertençam a um mesmo conglomerado financeiro devem estabelecer </w:t>
      </w:r>
      <w:r w:rsidR="004B7CA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suas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política</w:t>
      </w:r>
      <w:r w:rsidR="004B7CA0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mecanismos de intercâmbio de informações entre suas áreas de controles internos</w:t>
      </w:r>
      <w:r w:rsidR="004B7CA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="00720BFE" w:rsidRPr="00A33F81">
        <w:rPr>
          <w:rFonts w:ascii="Calibri" w:eastAsia="Calibri" w:hAnsi="Calibri" w:cs="Calibri"/>
          <w:sz w:val="24"/>
          <w:szCs w:val="24"/>
          <w:lang w:eastAsia="en-US"/>
        </w:rPr>
        <w:t>Vale destacar que é possível a adoção de uma política úni</w:t>
      </w:r>
      <w:r w:rsidR="00971084" w:rsidRPr="00A33F81">
        <w:rPr>
          <w:rFonts w:ascii="Calibri" w:eastAsia="Calibri" w:hAnsi="Calibri" w:cs="Calibri"/>
          <w:sz w:val="24"/>
          <w:szCs w:val="24"/>
          <w:lang w:eastAsia="en-US"/>
        </w:rPr>
        <w:t>ca para todo conglomerado;</w:t>
      </w:r>
      <w:r w:rsidR="00720BFE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neste caso</w:t>
      </w:r>
      <w:r w:rsidR="00971084" w:rsidRPr="00A33F81">
        <w:rPr>
          <w:rFonts w:ascii="Calibri" w:eastAsia="Calibri" w:hAnsi="Calibri" w:cs="Calibri"/>
          <w:sz w:val="24"/>
          <w:szCs w:val="24"/>
          <w:lang w:eastAsia="en-US"/>
        </w:rPr>
        <w:t>, é importante de</w:t>
      </w:r>
      <w:r w:rsidR="00720BFE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talhar </w:t>
      </w:r>
      <w:r w:rsidR="00971084" w:rsidRPr="00A33F81">
        <w:rPr>
          <w:rFonts w:ascii="Calibri" w:eastAsia="Calibri" w:hAnsi="Calibri" w:cs="Calibri"/>
          <w:sz w:val="24"/>
          <w:szCs w:val="24"/>
          <w:lang w:eastAsia="en-US"/>
        </w:rPr>
        <w:t>as instituições abrangidas e as respectivas peculiaridades de cada uma delas.</w:t>
      </w:r>
    </w:p>
    <w:p w14:paraId="60C55498" w14:textId="1458C9B1" w:rsidR="00C1001C" w:rsidRPr="00DE4C10" w:rsidRDefault="004B7CA0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 intuito da regulação 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>é enfrentar</w:t>
      </w:r>
      <w:r w:rsidR="00345EB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 risco de que falhas na comunicação entre </w:t>
      </w:r>
      <w:r w:rsidR="00720BFE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 </w:t>
      </w:r>
      <w:r w:rsidR="00704707" w:rsidRPr="00A33F81">
        <w:rPr>
          <w:rFonts w:ascii="Calibri" w:eastAsia="Calibri" w:hAnsi="Calibri" w:cs="Calibri"/>
          <w:sz w:val="24"/>
          <w:szCs w:val="24"/>
          <w:lang w:eastAsia="en-US"/>
        </w:rPr>
        <w:t>unidades de controles internos</w:t>
      </w:r>
      <w:r w:rsidR="00720BFE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45EB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impeçam 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 cumprimento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das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obrigações previstas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no dispositivo</w:t>
      </w:r>
      <w:r w:rsidR="00704707" w:rsidRPr="00A33F81">
        <w:rPr>
          <w:rFonts w:ascii="Calibri" w:eastAsia="Calibri" w:hAnsi="Calibri" w:cs="Calibri"/>
          <w:sz w:val="24"/>
          <w:szCs w:val="24"/>
          <w:lang w:eastAsia="en-US"/>
        </w:rPr>
        <w:t>, independentemente da adoção ou não de uma política única para o conglomerado</w:t>
      </w:r>
      <w:r w:rsidR="00345EBC" w:rsidRPr="00A33F81">
        <w:rPr>
          <w:rFonts w:ascii="Calibri" w:eastAsia="Calibri" w:hAnsi="Calibri" w:cs="Calibri"/>
          <w:sz w:val="24"/>
          <w:szCs w:val="24"/>
          <w:lang w:eastAsia="en-US"/>
        </w:rPr>
        <w:t>. Naturalmente, o intercâmbio de informações deve considerar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 relevância do risco identificado em cada caso,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sempre 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alinhamento com </w:t>
      </w:r>
      <w:r w:rsidR="00D247C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respectiva 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>avaliação interna de risco</w:t>
      </w:r>
      <w:r w:rsidR="00A765A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conforme Seção II do Capítulo II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 xml:space="preserve"> CVM nº </w:t>
      </w:r>
      <w:r w:rsidR="00DE4C10">
        <w:rPr>
          <w:rFonts w:ascii="Calibri" w:eastAsia="Calibri" w:hAnsi="Calibri" w:cs="Calibri"/>
          <w:sz w:val="24"/>
          <w:szCs w:val="24"/>
          <w:lang w:eastAsia="en-US"/>
        </w:rPr>
        <w:t>50</w:t>
      </w:r>
      <w:r w:rsidR="00E74568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E74568" w:rsidRPr="00A33F81">
        <w:rPr>
          <w:rFonts w:ascii="Calibri" w:eastAsia="Calibri" w:hAnsi="Calibri" w:cs="Calibri"/>
          <w:sz w:val="24"/>
          <w:szCs w:val="24"/>
          <w:lang w:eastAsia="en-US"/>
        </w:rPr>
        <w:t>de 2021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A20DC5C" w14:textId="48C07BE0" w:rsidR="00C1001C" w:rsidRPr="00DE4C10" w:rsidRDefault="00345EBC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Note-se que t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>al dispositivo não colide com os §</w:t>
      </w:r>
      <w:r w:rsidR="00046CDD" w:rsidRPr="00A33F81">
        <w:rPr>
          <w:rFonts w:ascii="Calibri" w:eastAsia="Calibri" w:hAnsi="Calibri" w:cs="Calibri"/>
          <w:sz w:val="24"/>
          <w:szCs w:val="24"/>
          <w:lang w:eastAsia="en-US"/>
        </w:rPr>
        <w:t>§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4º e 5º do art. 8º, especialmente quando fica claro que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manter um único, ou mais diretores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para desempenhar os deveres descritos na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Resolução 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será uma escolha das instituições </w:t>
      </w:r>
      <w:r w:rsidR="007F6B45" w:rsidRPr="00A33F81">
        <w:rPr>
          <w:rFonts w:ascii="Calibri" w:eastAsia="Calibri" w:hAnsi="Calibri" w:cs="Calibri"/>
          <w:sz w:val="24"/>
          <w:szCs w:val="24"/>
          <w:lang w:eastAsia="en-US"/>
        </w:rPr>
        <w:t>que compõem</w:t>
      </w:r>
      <w:r w:rsidR="00C1001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 </w:t>
      </w:r>
      <w:r w:rsidR="007F6B45" w:rsidRPr="00A33F81">
        <w:rPr>
          <w:rFonts w:ascii="Calibri" w:eastAsia="Calibri" w:hAnsi="Calibri" w:cs="Calibri"/>
          <w:sz w:val="24"/>
          <w:szCs w:val="24"/>
          <w:lang w:eastAsia="en-US"/>
        </w:rPr>
        <w:t>conglomerado financeiro.</w:t>
      </w:r>
    </w:p>
    <w:p w14:paraId="5001281A" w14:textId="481F513C" w:rsidR="00680FF9" w:rsidRPr="00DE4C10" w:rsidRDefault="007F6B45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qualquer </w:t>
      </w:r>
      <w:r w:rsidR="00345EBC" w:rsidRPr="00A33F81">
        <w:rPr>
          <w:rFonts w:ascii="Calibri" w:eastAsia="Calibri" w:hAnsi="Calibri" w:cs="Calibri"/>
          <w:sz w:val="24"/>
          <w:szCs w:val="24"/>
          <w:lang w:eastAsia="en-US"/>
        </w:rPr>
        <w:t>hipótese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deve ser enfatizado 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o diretor responsável pela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Resolução 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deve ter amplo, irrestrito e tempestivo acesso a qualquer informação relacionada à atuação 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>do ente regulado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46CDD" w:rsidRPr="00A33F81">
        <w:rPr>
          <w:rFonts w:ascii="Calibri" w:eastAsia="Calibri" w:hAnsi="Calibri" w:cs="Calibri"/>
          <w:sz w:val="24"/>
          <w:szCs w:val="24"/>
          <w:lang w:eastAsia="en-US"/>
        </w:rPr>
        <w:t>no mercado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capitais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>, possibilitando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dessa forma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>os dados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necessári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 para o exercício de suas atribuições e de seus </w:t>
      </w:r>
      <w:r w:rsidR="008B54F5" w:rsidRPr="00A33F81">
        <w:rPr>
          <w:rFonts w:ascii="Calibri" w:eastAsia="Calibri" w:hAnsi="Calibri" w:cs="Calibri"/>
          <w:sz w:val="24"/>
          <w:szCs w:val="24"/>
          <w:lang w:eastAsia="en-US"/>
        </w:rPr>
        <w:t>funcionários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>, especialmente no que tange ao efetivo gerenciamento do</w:t>
      </w:r>
      <w:r w:rsidR="00C1575C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riscos de lavagem de dinheiro, ao financiamento do terrorismo e ao financiamento da proliferação de armas de destruição em massa</w:t>
      </w:r>
      <w:r w:rsidR="00C1575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(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C1575C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possam ser </w:t>
      </w:r>
      <w:r w:rsidR="0017459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eficaz e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tempestivamente </w:t>
      </w:r>
      <w:r w:rsidR="0005218C" w:rsidRPr="00A33F81">
        <w:rPr>
          <w:rFonts w:ascii="Calibri" w:eastAsia="Calibri" w:hAnsi="Calibri" w:cs="Calibri"/>
          <w:sz w:val="24"/>
          <w:szCs w:val="24"/>
          <w:lang w:eastAsia="en-US"/>
        </w:rPr>
        <w:t>utilizados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6EFA9892" w14:textId="11D52D05" w:rsidR="00720264" w:rsidRPr="00A33F81" w:rsidRDefault="00971084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Os responsáveis pelas 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>atividade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gerenciamento de riscos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>de</w:t>
      </w:r>
      <w:r w:rsidR="000C660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>auditoria interna, quando aplicável, deve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>basea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r suas análises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todas as informações </w:t>
      </w:r>
      <w:r w:rsidR="005D334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julgarem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relevantes,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>incluindo, quando apropriado, informações restritas ou mesmo confidenciais obtidas por meio de mecanismos internos</w:t>
      </w:r>
      <w:r w:rsidR="00447463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que possibilitem o referido acesso, assim como </w:t>
      </w:r>
      <w:r w:rsidR="0044746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informações provenientes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linhas diretas do canal </w:t>
      </w:r>
      <w:r w:rsidR="00046CD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>denúncia.</w:t>
      </w:r>
    </w:p>
    <w:p w14:paraId="2DEB1642" w14:textId="77777777" w:rsidR="00680FF9" w:rsidRPr="00DE4C10" w:rsidRDefault="00447463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Desse modo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7F6B4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nenhuma situação as pessoas 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jurídicas </w:t>
      </w:r>
      <w:r w:rsidR="007F6B4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elencadas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nos incisos I </w:t>
      </w:r>
      <w:r w:rsidR="00767A85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III do </w:t>
      </w:r>
      <w:r w:rsidR="007F6B4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art. 3º poderão alegar 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qualquer modalidade de restrição de acesso a qualquer dado corporativo por parte do referido diretor, tais como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– </w:t>
      </w:r>
      <w:r w:rsidR="0017459C" w:rsidRPr="00A33F81">
        <w:rPr>
          <w:rFonts w:ascii="Calibri" w:eastAsia="Calibri" w:hAnsi="Calibri" w:cs="Calibri"/>
          <w:sz w:val="24"/>
          <w:szCs w:val="24"/>
          <w:lang w:eastAsia="en-US"/>
        </w:rPr>
        <w:t>por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exemplo –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questões derivadas 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>de um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eventual regime de sigilo (legal</w:t>
      </w:r>
      <w:r w:rsidR="00873C7F" w:rsidRPr="00A33F81">
        <w:rPr>
          <w:rFonts w:ascii="Calibri" w:eastAsia="Calibri" w:hAnsi="Calibri" w:cs="Calibri"/>
          <w:sz w:val="24"/>
          <w:szCs w:val="24"/>
          <w:lang w:eastAsia="en-US"/>
        </w:rPr>
        <w:t>, comercial, dentre outros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),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ou demais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restrições 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>legais</w:t>
      </w:r>
      <w:r w:rsidR="000E0435" w:rsidRPr="00A33F81">
        <w:rPr>
          <w:rFonts w:ascii="Calibri" w:eastAsia="Calibri" w:hAnsi="Calibri" w:cs="Calibri"/>
          <w:sz w:val="24"/>
          <w:szCs w:val="24"/>
          <w:lang w:eastAsia="en-US"/>
        </w:rPr>
        <w:t>, tais como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eventos 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 âmbito da Lei </w:t>
      </w:r>
      <w:r w:rsidR="0097108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Geral de Proteção de Dados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>ou decorrentes de normas que regulamentem a existência de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segregação de atividades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3C00BB" w:rsidRPr="00A33F81">
        <w:rPr>
          <w:rFonts w:ascii="Calibri" w:eastAsia="Calibri" w:hAnsi="Calibri" w:cs="Calibri"/>
          <w:b/>
          <w:sz w:val="24"/>
          <w:szCs w:val="24"/>
          <w:lang w:eastAsia="en-US"/>
        </w:rPr>
        <w:t>chine</w:t>
      </w:r>
      <w:r w:rsidR="00DD64F4" w:rsidRPr="00A33F81">
        <w:rPr>
          <w:rFonts w:ascii="Calibri" w:eastAsia="Calibri" w:hAnsi="Calibri" w:cs="Calibri"/>
          <w:b/>
          <w:sz w:val="24"/>
          <w:szCs w:val="24"/>
          <w:lang w:eastAsia="en-US"/>
        </w:rPr>
        <w:t>se</w:t>
      </w:r>
      <w:r w:rsidR="003C00BB" w:rsidRPr="00A33F8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wall</w:t>
      </w:r>
      <w:r w:rsidR="009974D5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entre algumas áreas da 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referida </w:t>
      </w:r>
      <w:r w:rsidR="003C00BB" w:rsidRPr="00A33F81">
        <w:rPr>
          <w:rFonts w:ascii="Calibri" w:eastAsia="Calibri" w:hAnsi="Calibri" w:cs="Calibri"/>
          <w:sz w:val="24"/>
          <w:szCs w:val="24"/>
          <w:lang w:eastAsia="en-US"/>
        </w:rPr>
        <w:t>instituição.</w:t>
      </w:r>
    </w:p>
    <w:p w14:paraId="58B0F9B6" w14:textId="478DF0B1" w:rsidR="007F6B45" w:rsidRPr="00DE4C10" w:rsidRDefault="003C00B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forma como tais dados </w:t>
      </w:r>
      <w:r w:rsidR="0044746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disponibilizad</w:t>
      </w:r>
      <w:r w:rsidR="00447463" w:rsidRPr="00A33F81">
        <w:rPr>
          <w:rFonts w:ascii="Calibri" w:eastAsia="Calibri" w:hAnsi="Calibri" w:cs="Calibri"/>
          <w:sz w:val="24"/>
          <w:szCs w:val="24"/>
          <w:lang w:eastAsia="en-US"/>
        </w:rPr>
        <w:t>os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para o diretor </w:t>
      </w:r>
      <w:r w:rsidR="00AA393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responsável pela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Resolução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seus </w:t>
      </w:r>
      <w:r w:rsidR="008B54F5" w:rsidRPr="00A33F81">
        <w:rPr>
          <w:rFonts w:ascii="Calibri" w:eastAsia="Calibri" w:hAnsi="Calibri" w:cs="Calibri"/>
          <w:sz w:val="24"/>
          <w:szCs w:val="24"/>
          <w:lang w:eastAsia="en-US"/>
        </w:rPr>
        <w:t>funcionários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deverá ser parte integrante das </w:t>
      </w:r>
      <w:r w:rsidR="00680FF9" w:rsidRPr="00A33F81">
        <w:rPr>
          <w:rFonts w:ascii="Calibri" w:eastAsia="Calibri" w:hAnsi="Calibri" w:cs="Calibri"/>
          <w:sz w:val="24"/>
          <w:szCs w:val="24"/>
          <w:lang w:eastAsia="en-US"/>
        </w:rPr>
        <w:t>regras, procedimentos e controles</w:t>
      </w:r>
      <w:r w:rsidR="0044746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677FC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internos </w:t>
      </w:r>
      <w:r w:rsidR="0044746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da instituição. Ademais, 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os sistemas responsáveis pelo fluxo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interno 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dados da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devem ser norteados para que se evite a possiblidade de que as rotinas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inerentes ao gerenciamento de riscos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possam ser prejudicadas por eventual assimetria de informações, pelo recebimento intempestivo de dados ou mesmo 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>pela</w:t>
      </w:r>
      <w:r w:rsidR="00D707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não recepção de alguma informação.</w:t>
      </w:r>
    </w:p>
    <w:p w14:paraId="7E8EF387" w14:textId="2B577F48" w:rsidR="00256B39" w:rsidRPr="00DE4C10" w:rsidRDefault="00447463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Ou seja</w:t>
      </w:r>
      <w:r w:rsidR="00256B39" w:rsidRPr="00A33F81">
        <w:rPr>
          <w:rFonts w:ascii="Calibri" w:eastAsia="Calibri" w:hAnsi="Calibri" w:cs="Calibri"/>
          <w:sz w:val="24"/>
          <w:szCs w:val="24"/>
          <w:lang w:eastAsia="en-US"/>
        </w:rPr>
        <w:t>, é fundamental a implementação de processos adequados de comunicação interna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 assim</w:t>
      </w:r>
      <w:r w:rsidR="00256B3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possibilitando que o diretor responsável e seus </w:t>
      </w:r>
      <w:r w:rsidR="008B54F5" w:rsidRPr="00A33F81">
        <w:rPr>
          <w:rFonts w:ascii="Calibri" w:eastAsia="Calibri" w:hAnsi="Calibri" w:cs="Calibri"/>
          <w:sz w:val="24"/>
          <w:szCs w:val="24"/>
          <w:lang w:eastAsia="en-US"/>
        </w:rPr>
        <w:t>funcionários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20264" w:rsidRPr="00A33F81">
        <w:rPr>
          <w:rFonts w:ascii="Calibri" w:eastAsia="Calibri" w:hAnsi="Calibri" w:cs="Calibri"/>
          <w:sz w:val="24"/>
          <w:szCs w:val="24"/>
          <w:lang w:eastAsia="en-US"/>
        </w:rPr>
        <w:t>acesse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="00256B3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sem demora qual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>quer</w:t>
      </w:r>
      <w:r w:rsidR="00256B3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informação sensível relacionada à temática da gestão de riscos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256B39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17B9F1A4" w14:textId="56BAC3D9" w:rsidR="004C0A4B" w:rsidRPr="00DE4C10" w:rsidRDefault="004C0A4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Alerte-se que a alta administração deve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apenas estar ciente dos seus deveres dispostos na Seção II do Capítulo III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 mas também deve se assegurar que:</w:t>
      </w:r>
    </w:p>
    <w:p w14:paraId="39EBEDC8" w14:textId="55F83BBD" w:rsidR="004C0A4B" w:rsidRPr="00DE4C10" w:rsidRDefault="004C0A4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a) está tempestivamente ciente dos riscos de conformidade relacionados à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DBD3394" w14:textId="2F18AEAF" w:rsidR="004C0A4B" w:rsidRPr="00DE4C10" w:rsidRDefault="004C0A4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b) o diretor responsável </w:t>
      </w:r>
      <w:r w:rsidR="00363A5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tem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independência, autonomia e conhecimento técnico suficiente para </w:t>
      </w:r>
      <w:r w:rsidR="00363A56" w:rsidRPr="00A33F81">
        <w:rPr>
          <w:rFonts w:ascii="Calibri" w:eastAsia="Calibri" w:hAnsi="Calibri" w:cs="Calibri"/>
          <w:sz w:val="24"/>
          <w:szCs w:val="24"/>
          <w:lang w:eastAsia="en-US"/>
        </w:rPr>
        <w:t>o pleno cumprimento dos seus deveres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assim como tem pleno acesso a todas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informações que julgar necessárias para que a respectiva governança de riscos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possa ser efetuada; </w:t>
      </w:r>
    </w:p>
    <w:p w14:paraId="7066331B" w14:textId="60F22E10" w:rsidR="004C0A4B" w:rsidRPr="00DE4C10" w:rsidRDefault="004C0A4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c) os sistemas responsáveis pela coleta, atualização e guarda das informações relacionadas à Política “Conheça seu Cliente” descritas no Capítulo IV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Resolução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são adequados para o fim a que se destinam;</w:t>
      </w:r>
    </w:p>
    <w:p w14:paraId="36D503E4" w14:textId="45DE0862" w:rsidR="004C0A4B" w:rsidRPr="00DE4C10" w:rsidRDefault="004C0A4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d) os sistemas de monitoramento das operações e situações atípicas estão alinhados com o “apetite de risco” da instituição, assim como podem ser prontamente customizados na hipótese de qualquer alteração na respectiva matriz de riscos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 e</w:t>
      </w:r>
    </w:p>
    <w:p w14:paraId="042696D7" w14:textId="77777777" w:rsidR="004C0A4B" w:rsidRPr="00DE4C10" w:rsidRDefault="004C0A4B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e) foram efetivamente alocados recursos </w:t>
      </w:r>
      <w:r w:rsidR="0017459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humanos 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financeiros suficientes para cumprimento dos pontos anteriormente descritos.</w:t>
      </w:r>
    </w:p>
    <w:p w14:paraId="4CBF7D8D" w14:textId="3560BAF1" w:rsidR="00C6487F" w:rsidRPr="00A33F81" w:rsidRDefault="00034C82" w:rsidP="00A33F81">
      <w:pPr>
        <w:pStyle w:val="Captulo"/>
      </w:pPr>
      <w:r>
        <w:t>REGRAS, PROCEDIMENTOS E CONTROLES INTERNOS</w:t>
      </w:r>
    </w:p>
    <w:p w14:paraId="698A461B" w14:textId="71F47901" w:rsidR="007A45BE" w:rsidRPr="00DE4C10" w:rsidRDefault="00361BE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natureza e 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extensão das regras, procedimentos e controles internos de 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dependerão de uma série de fatores, incluindo </w:t>
      </w:r>
      <w:r w:rsidR="00393AD1" w:rsidRPr="00A33F81">
        <w:rPr>
          <w:rFonts w:ascii="Calibri" w:eastAsia="Calibri" w:hAnsi="Calibri" w:cs="Calibri"/>
          <w:sz w:val="24"/>
          <w:szCs w:val="24"/>
          <w:lang w:eastAsia="en-US"/>
        </w:rPr>
        <w:t>o escopo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 escala e complexidade da atuação d</w:t>
      </w:r>
      <w:r w:rsidR="00677FC1" w:rsidRPr="00A33F81">
        <w:rPr>
          <w:rFonts w:ascii="Calibri" w:eastAsia="Calibri" w:hAnsi="Calibri" w:cs="Calibri"/>
          <w:sz w:val="24"/>
          <w:szCs w:val="24"/>
          <w:lang w:eastAsia="en-US"/>
        </w:rPr>
        <w:t>o ente regulado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no mercado de valores mobiliários. </w:t>
      </w:r>
    </w:p>
    <w:p w14:paraId="24F23A84" w14:textId="77777777" w:rsidR="000C257F" w:rsidRPr="00DE4C10" w:rsidRDefault="00361BE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Isso inclui, </w:t>
      </w:r>
      <w:r w:rsidR="000C257F" w:rsidRPr="00A33F81">
        <w:rPr>
          <w:rFonts w:ascii="Calibri" w:eastAsia="Calibri" w:hAnsi="Calibri" w:cs="Calibri"/>
          <w:sz w:val="24"/>
          <w:szCs w:val="24"/>
          <w:lang w:eastAsia="en-US"/>
        </w:rPr>
        <w:t>mas não se restringe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0C257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ao que segue:</w:t>
      </w:r>
    </w:p>
    <w:p w14:paraId="65C8BFA6" w14:textId="77777777" w:rsidR="000C257F" w:rsidRPr="00DE4C10" w:rsidRDefault="000C257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a) a 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>diversidade de suas operações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317D9B3" w14:textId="77777777" w:rsidR="000C257F" w:rsidRPr="00DE4C10" w:rsidRDefault="000C257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>localização geográfica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7A30C8C9" w14:textId="77777777" w:rsidR="000C257F" w:rsidRPr="00DE4C10" w:rsidRDefault="000C257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base de clientes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0B46335B" w14:textId="77777777" w:rsidR="000C257F" w:rsidRPr="00DE4C10" w:rsidRDefault="000C257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d) o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perfil dos produtos 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das 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>atividades ofertadas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</w:t>
      </w:r>
    </w:p>
    <w:p w14:paraId="17893EF4" w14:textId="4AD320A9" w:rsidR="00361BEF" w:rsidRPr="00DE4C10" w:rsidRDefault="000C257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e)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 grau de risco associado às peculiaridades inerentes </w:t>
      </w:r>
      <w:r w:rsidR="00F73385" w:rsidRPr="00A33F81">
        <w:rPr>
          <w:rFonts w:ascii="Calibri" w:eastAsia="Calibri" w:hAnsi="Calibri" w:cs="Calibri"/>
          <w:sz w:val="24"/>
          <w:szCs w:val="24"/>
          <w:lang w:eastAsia="en-US"/>
        </w:rPr>
        <w:t>a todas a</w:t>
      </w:r>
      <w:r w:rsidR="00393AD1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F7338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linhas de negócio</w:t>
      </w:r>
      <w:r w:rsidR="0083357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(p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or exemplo, em que medida </w:t>
      </w:r>
      <w:r w:rsidR="00677FC1" w:rsidRPr="00A33F81">
        <w:rPr>
          <w:rFonts w:ascii="Calibri" w:eastAsia="Calibri" w:hAnsi="Calibri" w:cs="Calibri"/>
          <w:sz w:val="24"/>
          <w:szCs w:val="24"/>
          <w:lang w:eastAsia="en-US"/>
        </w:rPr>
        <w:t>se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tem, ou não,</w:t>
      </w:r>
      <w:r w:rsidR="00393AD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61BEF" w:rsidRPr="00A33F81">
        <w:rPr>
          <w:rFonts w:ascii="Calibri" w:eastAsia="Calibri" w:hAnsi="Calibri" w:cs="Calibri"/>
          <w:sz w:val="24"/>
          <w:szCs w:val="24"/>
          <w:lang w:eastAsia="en-US"/>
        </w:rPr>
        <w:t>relacionamento direto com o investidor</w:t>
      </w:r>
      <w:r w:rsidR="00393AD1" w:rsidRPr="00A33F81">
        <w:rPr>
          <w:rFonts w:ascii="Calibri" w:eastAsia="Calibri" w:hAnsi="Calibri" w:cs="Calibri"/>
          <w:sz w:val="24"/>
          <w:szCs w:val="24"/>
          <w:lang w:eastAsia="en-US"/>
        </w:rPr>
        <w:t>, ou</w:t>
      </w:r>
      <w:r w:rsidR="001C4CF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relacionamento comercia</w:t>
      </w:r>
      <w:r w:rsidR="00393AD1" w:rsidRPr="00A33F81">
        <w:rPr>
          <w:rFonts w:ascii="Calibri" w:eastAsia="Calibri" w:hAnsi="Calibri" w:cs="Calibri"/>
          <w:sz w:val="24"/>
          <w:szCs w:val="24"/>
          <w:lang w:eastAsia="en-US"/>
        </w:rPr>
        <w:t>l com outras pessoas que integre</w:t>
      </w:r>
      <w:r w:rsidR="001C4CFF" w:rsidRPr="00A33F81">
        <w:rPr>
          <w:rFonts w:ascii="Calibri" w:eastAsia="Calibri" w:hAnsi="Calibri" w:cs="Calibri"/>
          <w:sz w:val="24"/>
          <w:szCs w:val="24"/>
          <w:lang w:eastAsia="en-US"/>
        </w:rPr>
        <w:t>m o</w:t>
      </w:r>
      <w:r w:rsidR="00767A85" w:rsidRPr="00A33F81">
        <w:rPr>
          <w:rFonts w:ascii="Calibri" w:eastAsia="Calibri" w:hAnsi="Calibri" w:cs="Calibri"/>
          <w:sz w:val="24"/>
          <w:szCs w:val="24"/>
          <w:lang w:eastAsia="en-US"/>
        </w:rPr>
        <w:t>s incisos de I a III do</w:t>
      </w:r>
      <w:r w:rsidR="001C4CF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art. 3º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833575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1C4CFF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5C180CC0" w14:textId="2098D2A1" w:rsidR="005B768F" w:rsidRPr="00DE4C10" w:rsidRDefault="005B768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Dessa maneira, o gerenciamento de riscos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deve necessariamente:</w:t>
      </w:r>
    </w:p>
    <w:p w14:paraId="2B7CB750" w14:textId="21D53F29" w:rsidR="005B768F" w:rsidRPr="00DE4C10" w:rsidRDefault="005B768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a) priorizar o acompanhamento dos produtos e serviços da instituição que sejam mais vulneráveis</w:t>
      </w:r>
      <w:r w:rsidR="00D81FA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aos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C28A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riscos 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F73385" w:rsidRPr="00A33F81">
        <w:rPr>
          <w:rFonts w:ascii="Calibri" w:eastAsia="Calibri" w:hAnsi="Calibri" w:cs="Calibri"/>
          <w:sz w:val="24"/>
          <w:szCs w:val="24"/>
          <w:lang w:eastAsia="en-US"/>
        </w:rPr>
        <w:t>, customizando, sempre que necessário, regras, procedimento</w:t>
      </w:r>
      <w:r w:rsidR="00097B01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F7338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controles internos para o tratamento específico de um evento com maior probabilidade de dano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; </w:t>
      </w:r>
    </w:p>
    <w:p w14:paraId="6122DD91" w14:textId="77777777" w:rsidR="005B768F" w:rsidRPr="00DE4C10" w:rsidRDefault="005B768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b) assegurar a existência de um processo regular de revisão de todas as rotinas de avaliação e gerenciamento desses riscos, levando em consideração o ambiente em que 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atua;</w:t>
      </w:r>
    </w:p>
    <w:p w14:paraId="7F616967" w14:textId="0CE4C51D" w:rsidR="005B768F" w:rsidRPr="00DE4C10" w:rsidRDefault="005B768F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c) verificar, antes da oferta de novos produtos ou serviços, 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ou mesmo da utilização de novas tecnologias,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 existência de avaliações prévia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a </w:t>
      </w:r>
      <w:r w:rsidR="003F5F9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respectiva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propositura de controles adequados </w:t>
      </w:r>
      <w:r w:rsidR="005D334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dos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riscos</w:t>
      </w:r>
      <w:r w:rsidR="005D334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22FC6B7" w14:textId="3F6AAC5F" w:rsidR="005B768F" w:rsidRPr="00DE4C10" w:rsidRDefault="00363A56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>d</w:t>
      </w:r>
      <w:r w:rsidR="004C0A4B" w:rsidRPr="00A33F81">
        <w:rPr>
          <w:rFonts w:ascii="Calibri" w:eastAsia="Calibri" w:hAnsi="Calibri" w:cs="Calibri"/>
          <w:sz w:val="24"/>
          <w:szCs w:val="24"/>
          <w:lang w:eastAsia="en-US"/>
        </w:rPr>
        <w:t>) monitorar a atuação profissional de seus funcionários, tendo em conta a relevância de suas atribuições para a execução de 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4C0A4B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6D7B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</w:t>
      </w:r>
    </w:p>
    <w:p w14:paraId="1E04EF1E" w14:textId="7A63933F" w:rsidR="005B768F" w:rsidRPr="00DE4C10" w:rsidRDefault="00363A56" w:rsidP="00A33F81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5B768F" w:rsidRPr="00A33F81">
        <w:rPr>
          <w:rFonts w:ascii="Calibri" w:eastAsia="Calibri" w:hAnsi="Calibri" w:cs="Calibri"/>
          <w:sz w:val="24"/>
          <w:szCs w:val="24"/>
          <w:lang w:eastAsia="en-US"/>
        </w:rPr>
        <w:t>) providenciar treinamento inicial e de reciclagem apropriado</w:t>
      </w:r>
      <w:r w:rsidR="004C0A4B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5B768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para </w:t>
      </w:r>
      <w:r w:rsidR="0020788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todas as pessoas </w:t>
      </w:r>
      <w:r w:rsidR="004C0A4B" w:rsidRPr="00A33F81">
        <w:rPr>
          <w:rFonts w:ascii="Calibri" w:eastAsia="Calibri" w:hAnsi="Calibri" w:cs="Calibri"/>
          <w:sz w:val="24"/>
          <w:szCs w:val="24"/>
          <w:lang w:eastAsia="en-US"/>
        </w:rPr>
        <w:t>previstas</w:t>
      </w:r>
      <w:r w:rsidR="0020788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C0A4B" w:rsidRPr="00A33F81">
        <w:rPr>
          <w:rFonts w:ascii="Calibri" w:eastAsia="Calibri" w:hAnsi="Calibri" w:cs="Calibri"/>
          <w:sz w:val="24"/>
          <w:szCs w:val="24"/>
          <w:lang w:eastAsia="en-US"/>
        </w:rPr>
        <w:t>n</w:t>
      </w:r>
      <w:r w:rsidR="0020788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 inciso II do art. 7º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6D7BEA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057DA106" w14:textId="286F89FA" w:rsidR="001A3685" w:rsidRPr="00A33F81" w:rsidRDefault="00034C82" w:rsidP="00A33F81">
      <w:pPr>
        <w:pStyle w:val="Captulo"/>
      </w:pPr>
      <w:r>
        <w:t>POLÍTICA “CONHEÇA SEU CLIENTE”</w:t>
      </w:r>
    </w:p>
    <w:p w14:paraId="239D4D93" w14:textId="5914D6D0" w:rsidR="007163D1" w:rsidRPr="00A33F81" w:rsidRDefault="003573D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 “Política Conheça seu Cliente” é um dos principais pilares da 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deve ser compreendida como a adoção mínima de 4 (quatro) etapas distintas, a saber: </w:t>
      </w:r>
    </w:p>
    <w:p w14:paraId="2C2C949B" w14:textId="77777777" w:rsidR="007163D1" w:rsidRPr="00A33F81" w:rsidRDefault="007163D1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a)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a identificação do cliente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55CBE297" w14:textId="77777777" w:rsidR="007163D1" w:rsidRPr="00A33F81" w:rsidRDefault="007163D1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b)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o cadastro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B7CE931" w14:textId="77777777" w:rsidR="007163D1" w:rsidRPr="00A33F81" w:rsidRDefault="007163D1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c)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a condução de diligências devidas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</w:t>
      </w:r>
    </w:p>
    <w:p w14:paraId="33049855" w14:textId="77777777" w:rsidR="003573DB" w:rsidRPr="00A33F81" w:rsidRDefault="007163D1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d)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 processo de identificação do beneficiário final.</w:t>
      </w:r>
    </w:p>
    <w:p w14:paraId="17A87BC1" w14:textId="41F3C639" w:rsidR="00C430DF" w:rsidRPr="00A33F81" w:rsidRDefault="003573D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identificação do cliente compreende a implementação de procedimentos adequados ao objetivo de assegurar a </w:t>
      </w:r>
      <w:r w:rsidR="005726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sua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real identidade, haja vista se tratar do momento preliminar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início do relacionamento do investidor com a instituição.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>Existe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, no mínimo,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 necessidade de certificação de que o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investidor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possuiu, de fato, um número de </w:t>
      </w:r>
      <w:r w:rsidR="0037215F" w:rsidRPr="00A33F81">
        <w:rPr>
          <w:rFonts w:ascii="Calibri" w:eastAsia="Calibri" w:hAnsi="Calibri" w:cs="Calibri"/>
          <w:sz w:val="24"/>
          <w:szCs w:val="24"/>
          <w:lang w:eastAsia="en-US"/>
        </w:rPr>
        <w:t>documento de identidade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ou respectiva inscrição no CNPJ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726DF" w:rsidRPr="00A33F81">
        <w:rPr>
          <w:rFonts w:ascii="Calibri" w:eastAsia="Calibri" w:hAnsi="Calibri" w:cs="Calibri"/>
          <w:sz w:val="24"/>
          <w:szCs w:val="24"/>
          <w:lang w:eastAsia="en-US"/>
        </w:rPr>
        <w:t>No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caso d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investidores não residentes, independentemente do uso do cadastro simplificado, tal informação também deverá contemplar o número do 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“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>código CVM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”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65608115" w14:textId="77777777" w:rsidR="00C430DF" w:rsidRPr="00A33F81" w:rsidRDefault="003573D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Cabe enfatizar que esse primeiro contato não necessariamente será realizado </w:t>
      </w:r>
      <w:r w:rsidRPr="00A33F81">
        <w:rPr>
          <w:rFonts w:ascii="Calibri" w:eastAsia="Calibri" w:hAnsi="Calibri" w:cs="Calibri"/>
          <w:b/>
          <w:bCs/>
          <w:sz w:val="24"/>
          <w:szCs w:val="24"/>
          <w:lang w:eastAsia="en-US"/>
        </w:rPr>
        <w:t>in loco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nas dependências da </w:t>
      </w:r>
      <w:r w:rsidR="00B1601B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Muitas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vezes esse momento será 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marcado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pela utilização de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diversas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tecnologias, devendo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assim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rotinas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relacionadas a essa etapa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observar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>, para efeitos de futura classificação de riscos,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que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>a continuidade do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relacionamento </w:t>
      </w:r>
      <w:r w:rsidR="0037215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com esse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cliente poderá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fato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>ser conduzido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em ambientes não presenciais. </w:t>
      </w:r>
    </w:p>
    <w:p w14:paraId="68154A64" w14:textId="77777777" w:rsidR="00B30F30" w:rsidRPr="00A33F81" w:rsidRDefault="00C430DF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Paralelamente,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esse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também é o momento em que o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 procedimentos de qualificação devem possibilitar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>uma primeira abordagem n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coleta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preliminar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validação </w:t>
      </w:r>
      <w:r w:rsidR="00B30F3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algumas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informações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relevantes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desse investidor, </w:t>
      </w:r>
      <w:r w:rsidR="00B1601B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 quais provavelmente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serão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necessárias ao adequado monitoramento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futuro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de suas transações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3FF35143" w14:textId="56B1D239" w:rsidR="003573DB" w:rsidRPr="00A33F81" w:rsidRDefault="00C05C16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Assim, nos termos do § 2º do art. 5º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deve ser 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passível de evidenciação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tentativa de,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por exemplo, </w:t>
      </w:r>
      <w:r w:rsidR="00B30F30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verificar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 o cliente pessoa natural é uma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pessoa exposta politicamente (PEP)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. Na hipótese de o investidor ser uma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pessoa jurídica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identificar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esse investidor 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é controlado por uma PEP, ou, alternativamente, se pode ser classificado como uma organização sem fins lucrativos, nos </w:t>
      </w:r>
      <w:r w:rsidR="00DD64F4" w:rsidRPr="00A33F81">
        <w:rPr>
          <w:rFonts w:ascii="Calibri" w:eastAsia="Calibri" w:hAnsi="Calibri" w:cs="Calibri"/>
          <w:sz w:val="24"/>
          <w:szCs w:val="24"/>
          <w:lang w:eastAsia="en-US"/>
        </w:rPr>
        <w:t>t</w:t>
      </w:r>
      <w:r w:rsidR="00C430DF" w:rsidRPr="00A33F81">
        <w:rPr>
          <w:rFonts w:ascii="Calibri" w:eastAsia="Calibri" w:hAnsi="Calibri" w:cs="Calibri"/>
          <w:sz w:val="24"/>
          <w:szCs w:val="24"/>
          <w:lang w:eastAsia="en-US"/>
        </w:rPr>
        <w:t>ermos da legislação em vigor.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Tais informações</w:t>
      </w:r>
      <w:r w:rsidR="004B0D23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por si só</w:t>
      </w:r>
      <w:r w:rsidR="004B0D23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não possuem qualquer caráter restritivo nem tampouco são suficientes para concluir a respectiva classificação de risco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desse cliente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20843E57" w14:textId="5A0D1090" w:rsidR="003573DB" w:rsidRPr="00A33F81" w:rsidRDefault="00C05C16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Posteriormente, tem início o processo de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coleta de todas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informações cadastrais,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nos termos do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Anexo </w:t>
      </w:r>
      <w:r w:rsidR="004962CF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critério da </w:t>
      </w:r>
      <w:r w:rsidR="00B1601B" w:rsidRPr="00A33F81">
        <w:rPr>
          <w:rFonts w:ascii="Calibri" w:eastAsia="Calibri" w:hAnsi="Calibri" w:cs="Calibri"/>
          <w:sz w:val="24"/>
          <w:szCs w:val="24"/>
          <w:lang w:eastAsia="en-US"/>
        </w:rPr>
        <w:t>instituição,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tal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processo poderá </w:t>
      </w:r>
      <w:r w:rsidR="004B0D2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 realizado por meio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sistemas alternativos de cadastro, inclusive por meio eletrônico, desde que as soluções adotadas satisfaçam 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os objetivos das normas vigentes e os procedimentos sejam passíveis de verificação.</w:t>
      </w:r>
    </w:p>
    <w:p w14:paraId="35ACD947" w14:textId="77777777" w:rsidR="00C05C16" w:rsidRPr="00A33F81" w:rsidRDefault="00C05C16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Para tanto,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as instituições que optarem pelo sistema alternativo de cadastro devem necessariamente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16D66626" w14:textId="77777777" w:rsidR="00C05C16" w:rsidRPr="00A33F81" w:rsidRDefault="0054360C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a) atender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às funções essenciais do processo de cadastramento de clientes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 com evidências de que foram garantidos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7D62A315" w14:textId="77777777" w:rsidR="00C05C16" w:rsidRPr="00A33F81" w:rsidRDefault="00C05C16" w:rsidP="00A33F81">
      <w:pPr>
        <w:spacing w:before="120" w:after="120" w:line="312" w:lineRule="auto"/>
        <w:ind w:firstLine="567"/>
        <w:jc w:val="both"/>
        <w:rPr>
          <w:rFonts w:ascii="Calibri" w:hAnsi="Calibri" w:cs="Calibri"/>
          <w:lang w:eastAsia="en-US"/>
        </w:rPr>
      </w:pPr>
      <w:r w:rsidRPr="257F9274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i)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a p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roteção ao cliente</w:t>
      </w:r>
      <w:r w:rsidR="004025EA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por meio do provimento de informações preliminares e básicas que mitiguem sua assimetria informacional com relação às condições do contrato e aos serviços ofertados (</w:t>
      </w:r>
      <w:r w:rsidRPr="00A33F81">
        <w:rPr>
          <w:rFonts w:ascii="Calibri" w:eastAsia="Calibri" w:hAnsi="Calibri" w:cs="Calibri"/>
          <w:b/>
          <w:bCs/>
          <w:sz w:val="24"/>
          <w:szCs w:val="24"/>
          <w:lang w:eastAsia="en-US"/>
        </w:rPr>
        <w:t>disclosure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C805BA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387C1BAD" w14:textId="6C6C08B8" w:rsidR="00C05C16" w:rsidRPr="00A33F81" w:rsidRDefault="00C05C16" w:rsidP="00A33F81">
      <w:pPr>
        <w:spacing w:before="120" w:after="120" w:line="312" w:lineRule="auto"/>
        <w:ind w:firstLine="567"/>
        <w:jc w:val="both"/>
        <w:rPr>
          <w:rFonts w:ascii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(ii)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o c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umprimento das </w:t>
      </w:r>
      <w:r w:rsidR="00D5494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normas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legais e </w:t>
      </w:r>
      <w:r w:rsidR="00D5494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regulamentares, especialmente aquelas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relativas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>à P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D5494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a processos de </w:t>
      </w:r>
      <w:r w:rsidR="00DE5988" w:rsidRPr="00A33F81">
        <w:rPr>
          <w:rFonts w:ascii="Calibri" w:eastAsia="Calibri" w:hAnsi="Calibri" w:cs="Calibri"/>
          <w:sz w:val="24"/>
          <w:szCs w:val="24"/>
          <w:lang w:eastAsia="en-US"/>
        </w:rPr>
        <w:t>adequação dos produtos ao perfil do investidor (</w:t>
      </w:r>
      <w:r w:rsidR="00D5494C" w:rsidRPr="00A33F81">
        <w:rPr>
          <w:rFonts w:ascii="Calibri" w:eastAsia="Calibri" w:hAnsi="Calibri" w:cs="Calibri"/>
          <w:b/>
          <w:sz w:val="24"/>
          <w:szCs w:val="24"/>
          <w:lang w:eastAsia="en-US"/>
        </w:rPr>
        <w:t>suitability</w:t>
      </w:r>
      <w:r w:rsidR="00DE5988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 ao combate à utilização de informações privilegiadas (</w:t>
      </w:r>
      <w:r w:rsidRPr="00A33F81">
        <w:rPr>
          <w:rFonts w:ascii="Calibri" w:eastAsia="Calibri" w:hAnsi="Calibri" w:cs="Calibri"/>
          <w:b/>
          <w:sz w:val="24"/>
          <w:szCs w:val="24"/>
          <w:lang w:eastAsia="en-US"/>
        </w:rPr>
        <w:t>insider trading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); e</w:t>
      </w:r>
    </w:p>
    <w:p w14:paraId="57FE72BD" w14:textId="77777777" w:rsidR="00C05C16" w:rsidRPr="00A33F81" w:rsidRDefault="00C05C16" w:rsidP="00A33F81">
      <w:pPr>
        <w:spacing w:before="120" w:after="120" w:line="312" w:lineRule="auto"/>
        <w:ind w:firstLine="567"/>
        <w:jc w:val="both"/>
        <w:rPr>
          <w:rFonts w:ascii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(iii)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a 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dministração </w:t>
      </w:r>
      <w:r w:rsidR="00587A1D" w:rsidRPr="00A33F81">
        <w:rPr>
          <w:rFonts w:ascii="Calibri" w:eastAsia="Calibri" w:hAnsi="Calibri" w:cs="Calibri"/>
          <w:sz w:val="24"/>
          <w:szCs w:val="24"/>
          <w:lang w:eastAsia="en-US"/>
        </w:rPr>
        <w:t>dos demais riscos inerentes à atuação dessa instituição no mercado de valores mobiliários</w:t>
      </w:r>
      <w:r w:rsidR="00AD1D52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151B57D6" w14:textId="77777777" w:rsidR="00C05C16" w:rsidRPr="00A33F81" w:rsidRDefault="00DE5988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umentar a segurança e a confiabilidade dos dados cadastrais </w:t>
      </w:r>
      <w:r w:rsidR="004B0D2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por meio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>de consultas a fontes oficiais de validação das informações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; </w:t>
      </w:r>
    </w:p>
    <w:p w14:paraId="4E738609" w14:textId="77777777" w:rsidR="00C05C16" w:rsidRPr="00A33F81" w:rsidRDefault="00DE5988" w:rsidP="00A33F81">
      <w:pPr>
        <w:spacing w:before="120" w:after="120" w:line="312" w:lineRule="auto"/>
        <w:ind w:firstLine="567"/>
        <w:jc w:val="both"/>
        <w:rPr>
          <w:rFonts w:ascii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g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arantir que todas as mudanças e atualizações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 âmbito do </w:t>
      </w:r>
      <w:r w:rsidR="00DD64F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cadastro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>sejam rastreáveis e auditáveis;</w:t>
      </w:r>
    </w:p>
    <w:p w14:paraId="683417EB" w14:textId="77777777" w:rsidR="00C05C16" w:rsidRPr="00A33F81" w:rsidRDefault="00921226" w:rsidP="00A33F81">
      <w:pPr>
        <w:spacing w:before="120" w:after="120" w:line="312" w:lineRule="auto"/>
        <w:ind w:firstLine="567"/>
        <w:jc w:val="both"/>
        <w:rPr>
          <w:rFonts w:ascii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82738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mitigar o risco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informações falsas </w:t>
      </w:r>
      <w:r w:rsidR="0082738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ou imprecisas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>no processo de cadastro; e</w:t>
      </w:r>
    </w:p>
    <w:p w14:paraId="10421F24" w14:textId="77777777" w:rsidR="00C05C16" w:rsidRPr="00A33F81" w:rsidRDefault="00921226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>e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mplementar um processo </w:t>
      </w:r>
      <w:r w:rsidR="00815CC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permanente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="007B6C62" w:rsidRPr="00A33F81">
        <w:rPr>
          <w:rFonts w:ascii="Calibri" w:eastAsia="Calibri" w:hAnsi="Calibri" w:cs="Calibri"/>
          <w:sz w:val="24"/>
          <w:szCs w:val="24"/>
          <w:lang w:eastAsia="en-US"/>
        </w:rPr>
        <w:t>coleta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7B6C6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atualização dos dados cadastrais dos clientes, e que 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permita </w:t>
      </w:r>
      <w:r w:rsidR="007B6C6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 acesso sem demora a tais </w:t>
      </w:r>
      <w:r w:rsidR="0054360C" w:rsidRPr="00A33F81">
        <w:rPr>
          <w:rFonts w:ascii="Calibri" w:eastAsia="Calibri" w:hAnsi="Calibri" w:cs="Calibri"/>
          <w:sz w:val="24"/>
          <w:szCs w:val="24"/>
          <w:lang w:eastAsia="en-US"/>
        </w:rPr>
        <w:t>as informações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57C9F478" w14:textId="42414EDC" w:rsidR="0040738D" w:rsidRPr="00A33F81" w:rsidRDefault="00DE5988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73334CA0">
        <w:rPr>
          <w:rFonts w:ascii="Calibri" w:eastAsia="Calibri" w:hAnsi="Calibri" w:cs="Calibri"/>
          <w:sz w:val="24"/>
          <w:szCs w:val="24"/>
          <w:lang w:eastAsia="en-US"/>
        </w:rPr>
        <w:t>Note-se que</w:t>
      </w:r>
      <w:r w:rsidR="00EA5DFC" w:rsidRPr="73334CA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73334CA0">
        <w:rPr>
          <w:rFonts w:ascii="Calibri" w:eastAsia="Calibri" w:hAnsi="Calibri" w:cs="Calibri"/>
          <w:sz w:val="24"/>
          <w:szCs w:val="24"/>
          <w:lang w:eastAsia="en-US"/>
        </w:rPr>
        <w:t xml:space="preserve"> em </w:t>
      </w:r>
      <w:r w:rsidR="00EA5DFC" w:rsidRPr="73334CA0">
        <w:rPr>
          <w:rFonts w:ascii="Calibri" w:eastAsia="Calibri" w:hAnsi="Calibri" w:cs="Calibri"/>
          <w:sz w:val="24"/>
          <w:szCs w:val="24"/>
          <w:lang w:eastAsia="en-US"/>
        </w:rPr>
        <w:t>qualquer</w:t>
      </w:r>
      <w:r w:rsidR="000C6D27" w:rsidRPr="73334CA0">
        <w:rPr>
          <w:rFonts w:ascii="Calibri" w:eastAsia="Calibri" w:hAnsi="Calibri" w:cs="Calibri"/>
          <w:sz w:val="24"/>
          <w:szCs w:val="24"/>
          <w:lang w:eastAsia="en-US"/>
        </w:rPr>
        <w:t xml:space="preserve"> hipótese</w:t>
      </w:r>
      <w:r w:rsidR="00EA5DFC" w:rsidRPr="73334CA0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73334CA0">
        <w:rPr>
          <w:rFonts w:ascii="Calibri" w:eastAsia="Calibri" w:hAnsi="Calibri" w:cs="Calibri"/>
          <w:sz w:val="24"/>
          <w:szCs w:val="24"/>
          <w:lang w:eastAsia="en-US"/>
        </w:rPr>
        <w:t xml:space="preserve"> as informações serão declaradas pelo próprio cliente, </w:t>
      </w:r>
      <w:r w:rsidR="000C6D27" w:rsidRPr="73334CA0">
        <w:rPr>
          <w:rFonts w:ascii="Calibri" w:eastAsia="Calibri" w:hAnsi="Calibri" w:cs="Calibri"/>
          <w:sz w:val="24"/>
          <w:szCs w:val="24"/>
          <w:lang w:eastAsia="en-US"/>
        </w:rPr>
        <w:t>devendo então passar</w:t>
      </w:r>
      <w:r w:rsidRPr="73334CA0">
        <w:rPr>
          <w:rFonts w:ascii="Calibri" w:eastAsia="Calibri" w:hAnsi="Calibri" w:cs="Calibri"/>
          <w:sz w:val="24"/>
          <w:szCs w:val="24"/>
          <w:lang w:eastAsia="en-US"/>
        </w:rPr>
        <w:t xml:space="preserve"> por um processo de validação pela </w:t>
      </w:r>
      <w:r w:rsidR="000C6D27" w:rsidRPr="73334CA0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Pr="73334CA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815CCC" w:rsidRPr="73334CA0">
        <w:rPr>
          <w:rFonts w:ascii="Calibri" w:eastAsia="Calibri" w:hAnsi="Calibri" w:cs="Calibri"/>
          <w:sz w:val="24"/>
          <w:szCs w:val="24"/>
          <w:lang w:eastAsia="en-US"/>
        </w:rPr>
        <w:t>por meio</w:t>
      </w:r>
      <w:r w:rsidRPr="73334CA0">
        <w:rPr>
          <w:rFonts w:ascii="Calibri" w:eastAsia="Calibri" w:hAnsi="Calibri" w:cs="Calibri"/>
          <w:sz w:val="24"/>
          <w:szCs w:val="24"/>
          <w:lang w:eastAsia="en-US"/>
        </w:rPr>
        <w:t xml:space="preserve"> de bases de dados públicas ou privadas de reconhecida confiabilidade, podendo tal consulta ser realizada nos dois ambientes.</w:t>
      </w:r>
    </w:p>
    <w:p w14:paraId="1ED0E466" w14:textId="77777777" w:rsidR="005A0AEC" w:rsidRPr="00A33F81" w:rsidRDefault="004025EA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Assim, divergências </w:t>
      </w:r>
      <w:r w:rsidR="00DE598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eventualmente apontadas durante o processo de análise e validação dos dados cadastrais fornecidos deverão ser </w:t>
      </w:r>
      <w:r w:rsidR="00AD1D5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dirimidas junto aos clientes e </w:t>
      </w:r>
      <w:r w:rsidR="00DE5988" w:rsidRPr="00A33F81">
        <w:rPr>
          <w:rFonts w:ascii="Calibri" w:eastAsia="Calibri" w:hAnsi="Calibri" w:cs="Calibri"/>
          <w:sz w:val="24"/>
          <w:szCs w:val="24"/>
          <w:lang w:eastAsia="en-US"/>
        </w:rPr>
        <w:t>tratadas pelas respectivas áreas e instâncias hierárquicas responsáveis pela aprovação e manutenção do relacionamento com clientes.</w:t>
      </w:r>
      <w:r w:rsidR="00A7435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256EDC06" w14:textId="77777777" w:rsidR="00DE5988" w:rsidRPr="00A33F81" w:rsidRDefault="004025EA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Note-se que, independentemente </w:t>
      </w:r>
      <w:r w:rsidR="005A0AE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da existência, ou não, de divergências nas bases cadastrais, 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5A0AE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deve ser sempre proativa e pautar tais rotinas </w:t>
      </w:r>
      <w:r w:rsidR="00A74359" w:rsidRPr="00A33F81">
        <w:rPr>
          <w:rFonts w:ascii="Calibri" w:eastAsia="Calibri" w:hAnsi="Calibri" w:cs="Calibri"/>
          <w:sz w:val="24"/>
          <w:szCs w:val="24"/>
          <w:lang w:eastAsia="en-US"/>
        </w:rPr>
        <w:t>nos termos do</w:t>
      </w:r>
      <w:r w:rsidR="005A0AEC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A7435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inciso</w:t>
      </w:r>
      <w:r w:rsidR="005A0AEC"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A7435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A0AE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II e </w:t>
      </w:r>
      <w:r w:rsidR="00A74359" w:rsidRPr="00A33F81">
        <w:rPr>
          <w:rFonts w:ascii="Calibri" w:eastAsia="Calibri" w:hAnsi="Calibri" w:cs="Calibri"/>
          <w:sz w:val="24"/>
          <w:szCs w:val="24"/>
          <w:lang w:eastAsia="en-US"/>
        </w:rPr>
        <w:t>III do art. 4º, dos §§ 1º e 3º do art. 11, e do inciso I do art. 17.</w:t>
      </w:r>
    </w:p>
    <w:p w14:paraId="57682B7E" w14:textId="77777777" w:rsidR="00827388" w:rsidRPr="00A33F81" w:rsidRDefault="00827388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Para</w:t>
      </w:r>
      <w:r w:rsidRPr="00A33F81">
        <w:rPr>
          <w:rFonts w:ascii="Calibri" w:eastAsia="Calibri" w:hAnsi="Calibri" w:cs="Calibri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 atingir os preceitos </w:t>
      </w:r>
      <w:r w:rsidR="00B7064A" w:rsidRPr="00A33F81">
        <w:rPr>
          <w:rFonts w:ascii="Calibri" w:eastAsia="Calibri" w:hAnsi="Calibri" w:cs="Calibri"/>
          <w:sz w:val="24"/>
          <w:szCs w:val="24"/>
          <w:lang w:eastAsia="en-US"/>
        </w:rPr>
        <w:t>anteriormente enfatizados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as instituições que optarem pelo sistema alternativo de cadastro devem </w:t>
      </w:r>
      <w:r w:rsidR="00F72060" w:rsidRPr="00A33F81">
        <w:rPr>
          <w:rFonts w:ascii="Calibri" w:eastAsia="Calibri" w:hAnsi="Calibri" w:cs="Calibri"/>
          <w:sz w:val="24"/>
          <w:szCs w:val="24"/>
          <w:lang w:eastAsia="en-US"/>
        </w:rPr>
        <w:t>observar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4871D0A8" w14:textId="77777777" w:rsidR="002130AC" w:rsidRPr="00A33F81" w:rsidRDefault="00AD1D5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bCs/>
          <w:lang w:eastAsia="en-US"/>
        </w:rPr>
      </w:pPr>
      <w:r w:rsidRPr="00A33F81" w:rsidDel="00AD1D5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manutenção do conteúdo, data, horário, origem e identificação do responsável pelo fornecimento e atualização de todas as informações cadastrais realizadas no período de, no mínimo,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5 (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>cinco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anos;</w:t>
      </w:r>
    </w:p>
    <w:p w14:paraId="34673F57" w14:textId="77777777" w:rsidR="002130AC" w:rsidRPr="00A33F81" w:rsidRDefault="00AD1D5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bCs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capacidade do sistema para retroagir a uma data anterior, pelo prazo mínimo de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5 (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>cinco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)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anos, de forma a mostrar os dados constantes do cadastro vigente naquela data;</w:t>
      </w:r>
    </w:p>
    <w:p w14:paraId="29F61EA8" w14:textId="77777777" w:rsidR="002130AC" w:rsidRPr="00A33F81" w:rsidRDefault="00AD1D5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bCs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="002130AC" w:rsidRPr="00A33F81">
        <w:rPr>
          <w:rFonts w:ascii="Calibri" w:eastAsia="Calibri" w:hAnsi="Calibri" w:cs="Calibri"/>
          <w:sz w:val="24"/>
          <w:szCs w:val="24"/>
          <w:lang w:eastAsia="en-US"/>
        </w:rPr>
        <w:t>) controles e procedimentos de segurança que permitam bloquear o acesso aos dados cadastrais por pessoas não autorizadas, bem como a identificação dos usuários que tiveram acesso ou realizaram alterações nos dados cadastrais no período de, no mínimo, cinco anos;</w:t>
      </w:r>
    </w:p>
    <w:p w14:paraId="24E9FCD3" w14:textId="085DF32A" w:rsidR="00CF498B" w:rsidRPr="00A33F81" w:rsidRDefault="00AD1D5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bCs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>) mecanismos de alerta de vencimento e bloqueio para a realização de novas operações por clientes com cadastros desatualizados, exceto nas hipóteses de pedidos de encerramento de conta ou de alienação ou resgate de ativos</w:t>
      </w:r>
      <w:r w:rsidR="005C766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sempre em observância aos termos do § 3º do art. 11, assim como dos arts. 16 </w:t>
      </w:r>
      <w:r w:rsidR="000C20E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5C7666" w:rsidRPr="00A33F81">
        <w:rPr>
          <w:rFonts w:ascii="Calibri" w:eastAsia="Calibri" w:hAnsi="Calibri" w:cs="Calibri"/>
          <w:sz w:val="24"/>
          <w:szCs w:val="24"/>
          <w:lang w:eastAsia="en-US"/>
        </w:rPr>
        <w:t>18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>; e</w:t>
      </w:r>
    </w:p>
    <w:p w14:paraId="4F8D0D77" w14:textId="77777777" w:rsidR="002465B4" w:rsidRPr="00A33F81" w:rsidRDefault="00FA646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>) descrição dos procedimentos analíticos e processos de aprovação que evidenciem as diligências adicionais cabíveis para</w:t>
      </w:r>
      <w:r w:rsidR="00F72060" w:rsidRPr="00A33F81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714A7DF2" w14:textId="7FE23876" w:rsidR="002465B4" w:rsidRPr="00A33F81" w:rsidRDefault="00CF498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>(i) confirmar as informações cadastrais de seus clientes, mantê-las atualizadas e monitorar as operações por eles realizadas, de forma a evitar o uso da conta por terceiros e identificar os beneficiários finais das operações;</w:t>
      </w:r>
    </w:p>
    <w:p w14:paraId="51CEA672" w14:textId="77777777" w:rsidR="002465B4" w:rsidRPr="00A33F81" w:rsidRDefault="00CF498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B07DC0" w:rsidRPr="00A33F81">
        <w:rPr>
          <w:rFonts w:ascii="Calibri" w:eastAsia="Calibri" w:hAnsi="Calibri" w:cs="Calibri"/>
          <w:sz w:val="24"/>
          <w:szCs w:val="24"/>
          <w:lang w:eastAsia="en-US"/>
        </w:rPr>
        <w:t>ii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) identificar as pessoas consideradas politicamente expostas</w:t>
      </w:r>
      <w:r w:rsidR="00F72060" w:rsidRPr="00A33F81">
        <w:rPr>
          <w:rFonts w:ascii="Calibri" w:eastAsia="Calibri" w:hAnsi="Calibri" w:cs="Calibri"/>
          <w:sz w:val="24"/>
          <w:szCs w:val="24"/>
          <w:lang w:eastAsia="en-US"/>
        </w:rPr>
        <w:t>, assim como as organizações sem fins lucrativos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; e</w:t>
      </w:r>
    </w:p>
    <w:p w14:paraId="7FD4553A" w14:textId="249D1276" w:rsidR="002130AC" w:rsidRPr="00A33F81" w:rsidRDefault="00CF498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(</w:t>
      </w:r>
      <w:r w:rsidR="00B07DC0" w:rsidRPr="00A33F81">
        <w:rPr>
          <w:rFonts w:ascii="Calibri" w:eastAsia="Calibri" w:hAnsi="Calibri" w:cs="Calibri"/>
          <w:sz w:val="24"/>
          <w:szCs w:val="24"/>
          <w:lang w:eastAsia="en-US"/>
        </w:rPr>
        <w:t>iii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) tentar, no limite das atribuições da instituição, identificar a origem dos recursos envolvidos nas transações dos clientes e dos beneficiários identificados como pessoas </w:t>
      </w:r>
      <w:r w:rsidR="00237D3C" w:rsidRPr="00A33F81">
        <w:rPr>
          <w:rFonts w:ascii="Calibri" w:eastAsia="Calibri" w:hAnsi="Calibri" w:cs="Calibri"/>
          <w:sz w:val="24"/>
          <w:szCs w:val="24"/>
          <w:lang w:eastAsia="en-US"/>
        </w:rPr>
        <w:t>expostas politicamente</w:t>
      </w:r>
      <w:r w:rsidR="00FA6462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534FF12" w14:textId="77777777" w:rsidR="00C05C16" w:rsidRPr="00A33F81" w:rsidRDefault="00CF498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Cabe aqui reiterar que</w:t>
      </w:r>
      <w:r w:rsidR="00C05C1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 assinatura do cliente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ou de seu procurador no cadastro pode ser efetuada por meio digital</w:t>
      </w:r>
      <w:r w:rsidR="009E352F" w:rsidRPr="00A33F81">
        <w:rPr>
          <w:rFonts w:ascii="Calibri" w:eastAsia="Calibri" w:hAnsi="Calibri" w:cs="Calibri"/>
          <w:sz w:val="24"/>
          <w:szCs w:val="24"/>
          <w:lang w:eastAsia="en-US"/>
        </w:rPr>
        <w:t>, que vincula o certificado digital ao documento eletrônico que está sendo assinado, no caso a ficha cadastral,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ou, no caso de sistemas eletrônicos,</w:t>
      </w:r>
      <w:r w:rsidR="009E352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pelos quais é realizado o cadastramento com a digitação dos dados cadastrais diretamente pelo investidor, futuro cliente,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suprida por outros mecanismos, desde que os procedimentos adotados permitam confirmar com precisão a identificação do cliente.</w:t>
      </w:r>
    </w:p>
    <w:p w14:paraId="6779819F" w14:textId="77777777" w:rsidR="00743307" w:rsidRPr="00A33F81" w:rsidRDefault="00CF498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Uma vez concluída a fase da coleta das informações cadastrais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tem início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a condução contínua de diligências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que vigorará ao longo de 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>todo o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relacionamento comercial com o cliente,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visando</w:t>
      </w:r>
      <w:r w:rsidR="00135E5A" w:rsidRPr="00A33F81">
        <w:rPr>
          <w:rFonts w:ascii="Calibri" w:eastAsia="Calibri" w:hAnsi="Calibri" w:cs="Calibri"/>
          <w:sz w:val="24"/>
          <w:szCs w:val="24"/>
          <w:lang w:eastAsia="en-US"/>
        </w:rPr>
        <w:t>: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1F48B3C3" w14:textId="3E36067F" w:rsidR="00743307" w:rsidRPr="00A33F81" w:rsidRDefault="00034C8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a) 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reforçar a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verifica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>ção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a veracidade das informações coletadas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324EFF2" w14:textId="5E7B3300" w:rsidR="00743307" w:rsidRPr="00A33F81" w:rsidRDefault="00034C8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257F9274">
        <w:rPr>
          <w:rFonts w:ascii="Calibri" w:eastAsia="Calibri" w:hAnsi="Calibri" w:cs="Calibri"/>
          <w:sz w:val="24"/>
          <w:szCs w:val="24"/>
          <w:lang w:eastAsia="en-US"/>
        </w:rPr>
        <w:t xml:space="preserve">b)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coletar informações suplementares</w:t>
      </w:r>
      <w:r w:rsidR="00135E5A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quando for o caso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;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assim como</w:t>
      </w:r>
    </w:p>
    <w:p w14:paraId="7B15E1EA" w14:textId="3A84F78E" w:rsidR="003573DB" w:rsidRPr="00A33F81" w:rsidRDefault="00034C8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c)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mantê-las atualizadas, na hipótese de detecção de fato novo que justifique a antecipação do prazo </w:t>
      </w:r>
      <w:r w:rsidR="00CF498B" w:rsidRPr="00A33F81">
        <w:rPr>
          <w:rFonts w:ascii="Calibri" w:eastAsia="Calibri" w:hAnsi="Calibri" w:cs="Calibri"/>
          <w:sz w:val="24"/>
          <w:szCs w:val="24"/>
          <w:lang w:eastAsia="en-US"/>
        </w:rPr>
        <w:t>estabelecido pela instituição para a atualização cadastral</w:t>
      </w:r>
      <w:r w:rsidR="00DD64F4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47562B0F" w14:textId="584344AE" w:rsidR="00383E92" w:rsidRPr="00A33F81" w:rsidRDefault="00DD64F4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Na condução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dessas diligências </w:t>
      </w:r>
      <w:r w:rsidR="006B7F6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contínuas 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>devem ser envidados e evidenciados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esforços para 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busca de informações suplementares visando a devida classificação 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gerenciamento 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>de risco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 de </w:t>
      </w:r>
      <w:r w:rsidR="00CA17FA" w:rsidRPr="00A33F81">
        <w:rPr>
          <w:rFonts w:ascii="Calibri" w:eastAsia="Calibri" w:hAnsi="Calibri" w:cs="Calibri"/>
          <w:sz w:val="24"/>
          <w:szCs w:val="24"/>
          <w:lang w:eastAsia="en-US"/>
        </w:rPr>
        <w:t>LD/FTP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desse cliente. A busca por dados adicionais deve inicialmente compreender todas as áreas da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assim como outras informações eventualmente disponíveis em outros entes que possam fazer parte do mesmo </w:t>
      </w:r>
      <w:r w:rsidR="004B0D23" w:rsidRPr="00A33F81">
        <w:rPr>
          <w:rFonts w:ascii="Calibri" w:eastAsia="Calibri" w:hAnsi="Calibri" w:cs="Calibri"/>
          <w:sz w:val="24"/>
          <w:szCs w:val="24"/>
          <w:lang w:eastAsia="en-US"/>
        </w:rPr>
        <w:t>conglomerado financeiro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nos termos do § 2º do art. 4º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383E9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6154F034" w14:textId="77777777" w:rsidR="00383E92" w:rsidRPr="00A33F81" w:rsidRDefault="00383E92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Nada obstante, a instituição deve, no âmbito de sua metodologia de abordagem em risco, permanente</w:t>
      </w:r>
      <w:r w:rsidR="00DD64F4" w:rsidRPr="00A33F81">
        <w:rPr>
          <w:rFonts w:ascii="Calibri" w:eastAsia="Calibri" w:hAnsi="Calibri" w:cs="Calibri"/>
          <w:sz w:val="24"/>
          <w:szCs w:val="24"/>
          <w:lang w:eastAsia="en-US"/>
        </w:rPr>
        <w:t>mente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avaliar como serão obtidas informações suplementares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perante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terceiros</w:t>
      </w:r>
      <w:r w:rsidR="006E29C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fora do conglomerado financeiro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, se for o caso, observados eventuais regimes de sigilo ou restrição de acesso previstos na legislação.</w:t>
      </w:r>
    </w:p>
    <w:p w14:paraId="32CCBC83" w14:textId="27AE9A4F" w:rsidR="00536A2A" w:rsidRPr="00A33F81" w:rsidRDefault="006B7F6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Cabe esclarecer que, conforme 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já definido na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considera-se </w:t>
      </w:r>
      <w:r w:rsidR="008944E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como beneficiário final pessoa natural ou pessoas naturais que,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isoladamente ou </w:t>
      </w:r>
      <w:r w:rsidR="008944E2" w:rsidRPr="00A33F81">
        <w:rPr>
          <w:rFonts w:ascii="Calibri" w:eastAsia="Calibri" w:hAnsi="Calibri" w:cs="Calibri"/>
          <w:sz w:val="24"/>
          <w:szCs w:val="24"/>
          <w:lang w:eastAsia="en-US"/>
        </w:rPr>
        <w:t>em conjunto, possuam, controlem ou influenciem significativamente, direta ou indiretamente, um cliente em nome do qual uma transação esteja sendo conduzida ou dela se beneficie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143949D6" w14:textId="07A0C795" w:rsidR="00797D1B" w:rsidRPr="00A33F81" w:rsidRDefault="00536A2A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Assim, </w:t>
      </w:r>
      <w:r w:rsidR="00872E4F" w:rsidRPr="00A33F81">
        <w:rPr>
          <w:rFonts w:ascii="Calibri" w:eastAsia="Calibri" w:hAnsi="Calibri" w:cs="Calibri"/>
          <w:sz w:val="24"/>
          <w:szCs w:val="24"/>
          <w:lang w:eastAsia="en-US"/>
        </w:rPr>
        <w:t>quando for aplicável a condução do processo de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identificação do beneficiário final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72E4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deve ser notado </w:t>
      </w:r>
      <w:r w:rsidR="00797D1B" w:rsidRPr="00A33F81">
        <w:rPr>
          <w:rFonts w:ascii="Calibri" w:eastAsia="Calibri" w:hAnsi="Calibri" w:cs="Calibri"/>
          <w:sz w:val="24"/>
          <w:szCs w:val="24"/>
          <w:lang w:eastAsia="en-US"/>
        </w:rPr>
        <w:t>o valor mínimo de referência</w:t>
      </w:r>
      <w:r w:rsidR="00973329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797D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72E4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foi definido </w:t>
      </w:r>
      <w:r w:rsidR="0097332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</w:t>
      </w:r>
      <w:r w:rsidR="00797D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25% (vinte e cinco por cento) do capital social das pessoas jurídicas ou do patrimônio líquido dos fundos de investimento e demais entidades nos casos de que tratam os incisos II a V do art. 1º do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Anexo </w:t>
      </w:r>
      <w:r w:rsidR="004962CF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="00797D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sem prejuízo da utilização </w:t>
      </w:r>
      <w:r w:rsidR="00EF5F6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eventual </w:t>
      </w:r>
      <w:r w:rsidR="00797D1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cadastro simplificado de que trata o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Anexo </w:t>
      </w:r>
      <w:r w:rsidR="004962CF"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="006E6971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Tal parâmetro </w:t>
      </w:r>
      <w:r w:rsidR="00872E4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deve estar alinhado com os resultados da </w:t>
      </w:r>
      <w:r w:rsidR="00545EC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avaliação interna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="00545EC8" w:rsidRPr="00A33F81">
        <w:rPr>
          <w:rFonts w:ascii="Calibri" w:eastAsia="Calibri" w:hAnsi="Calibri" w:cs="Calibri"/>
          <w:sz w:val="24"/>
          <w:szCs w:val="24"/>
          <w:lang w:eastAsia="en-US"/>
        </w:rPr>
        <w:t>risco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872E4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pode ser inferior 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esse percentual </w:t>
      </w:r>
      <w:r w:rsidR="00DD64F4" w:rsidRPr="00A33F81">
        <w:rPr>
          <w:rFonts w:ascii="Calibri" w:eastAsia="Calibri" w:hAnsi="Calibri" w:cs="Calibri"/>
          <w:sz w:val="24"/>
          <w:szCs w:val="24"/>
          <w:lang w:eastAsia="en-US"/>
        </w:rPr>
        <w:t>em</w:t>
      </w:r>
      <w:r w:rsidR="00872E4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situações de maior risco.</w:t>
      </w:r>
    </w:p>
    <w:p w14:paraId="440E45A7" w14:textId="77777777" w:rsidR="00EF57F5" w:rsidRPr="00A33F81" w:rsidRDefault="005A6E98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Além disso, deve 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 observado que o processo de identificação de um ou mais beneficiários finais ultrapassa os parâmetros definidos nos conceitos de controle ou de propriedade.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Por 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vezes o nexo causal dessa identificação deverá focar o ato ou efeito da influência significativa,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quanto ao que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pode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existir uma ou mais pessoas que participam de fato da tomada de decisões estratégicas daquele investidor, e que não necessariamente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>ão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>, por exemplo,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compor o quadro societário de uma empresa, e nem tampouco constar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ão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como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seus 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es</w:t>
      </w:r>
      <w:r w:rsidR="00EF57F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ou mesmo funcionário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s</w:t>
      </w:r>
      <w:r w:rsidR="005F531E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08C0EB7E" w14:textId="3B4B56AE" w:rsidR="00EF57F5" w:rsidRPr="00A33F81" w:rsidRDefault="00EF57F5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Outro ponto a ser verificado é que em muitas situações 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nas pessoas jurídicas,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ou 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mesmo em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arranjos legais de investidores não residentes, o beneficiário final 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será tão somente aquele </w:t>
      </w:r>
      <w:r w:rsidR="002E53A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em </w:t>
      </w:r>
      <w:r w:rsidR="00EF5F63" w:rsidRPr="00A33F81">
        <w:rPr>
          <w:rFonts w:ascii="Calibri" w:eastAsia="Calibri" w:hAnsi="Calibri" w:cs="Calibri"/>
          <w:sz w:val="24"/>
          <w:szCs w:val="24"/>
          <w:lang w:eastAsia="en-US"/>
        </w:rPr>
        <w:t>última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instância se beneficie direta ou indiretamente dos ativos de propriedade daquele cliente, sem que necessariamente </w:t>
      </w:r>
      <w:r w:rsidR="00271C3E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exista 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>qualquer registro formal de que ele compõe o quadro de acionistas, ou mesmo o quadro de administradores ou de funcionários.</w:t>
      </w:r>
    </w:p>
    <w:p w14:paraId="455AA74E" w14:textId="77777777" w:rsidR="003604FB" w:rsidRPr="00A33F81" w:rsidRDefault="006B2DF9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Todo o acima exposto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reforça a necessidade de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condução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permanente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>diligências visando o pleno conhecimento do cliente, incluindo aí a compreensão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sua natureza jurídica e de seu processo de tomada de decisões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numa abordagem baseada em risco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e no limite das atribuições da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3604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1167D73B" w14:textId="53FD6B3F" w:rsidR="003573DB" w:rsidRPr="00A33F81" w:rsidRDefault="006B2DF9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Já em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se tratando especificamente 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o cadastro simplificado do investidor não residente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previsto no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Anexo </w:t>
      </w:r>
      <w:r w:rsidR="004962CF" w:rsidRPr="257F9274">
        <w:rPr>
          <w:rFonts w:ascii="Calibri" w:eastAsia="Calibri" w:hAnsi="Calibri" w:cs="Calibri"/>
          <w:sz w:val="24"/>
          <w:szCs w:val="24"/>
          <w:lang w:eastAsia="en-US"/>
        </w:rPr>
        <w:t>C</w:t>
      </w:r>
      <w:r w:rsidR="00536A2A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da </w:t>
      </w:r>
      <w:r w:rsidR="00C61504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caberá inicialmente 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>à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 pessoas jurídicas mencionadas nos incisos I a III do art. 3º da </w:t>
      </w:r>
      <w:r w:rsidR="007273C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norma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identificar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>a classificação correta para o referido investidor estrangeiro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Sequencialmente,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 diligências devem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nortear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as situações em que são possíveis a individualização de uma pessoa natural ou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>de pessoas naturais como beneficiários finais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desses investidores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devendo </w:t>
      </w:r>
      <w:r w:rsidR="00EF5F63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ser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evidenciados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os melhores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esforços para identificá-los.</w:t>
      </w:r>
    </w:p>
    <w:p w14:paraId="629663BF" w14:textId="3C082C80" w:rsidR="003573DB" w:rsidRPr="00A33F81" w:rsidRDefault="008025BD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adoção do cadastro simplificado para os investidores não residentes permite 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brasileira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>detenha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reduzida 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quantidade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de informações cadastrais</w:t>
      </w:r>
      <w:r w:rsidR="00FF1B15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todavia não 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isenta de conduzir as rotinas previstas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no processo de conhecimento do investidor que já foram objeto de menção nesta </w:t>
      </w:r>
      <w:r w:rsidR="003B5AB9" w:rsidRPr="00A33F81">
        <w:rPr>
          <w:rFonts w:ascii="Calibri" w:eastAsia="Calibri" w:hAnsi="Calibri" w:cs="Calibri"/>
          <w:sz w:val="24"/>
          <w:szCs w:val="24"/>
          <w:lang w:eastAsia="en-US"/>
        </w:rPr>
        <w:t>Nota Explicativa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T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ais 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rotinas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devem ser conduzid</w:t>
      </w:r>
      <w:r w:rsidR="00E0205F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s em caráter permanente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durante o relacionamento comercial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da instituição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brasileir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com o investidor não residente, e </w:t>
      </w:r>
      <w:r w:rsidR="006B2D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não carecem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prévia demanda da CVM ou </w:t>
      </w:r>
      <w:r w:rsidR="000C3B64" w:rsidRPr="00A33F81">
        <w:rPr>
          <w:rFonts w:ascii="Calibri" w:eastAsia="Calibri" w:hAnsi="Calibri" w:cs="Calibri"/>
          <w:sz w:val="24"/>
          <w:szCs w:val="24"/>
          <w:lang w:eastAsia="en-US"/>
        </w:rPr>
        <w:t>da entidade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autorregulador</w:t>
      </w:r>
      <w:r w:rsidR="000C3B64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para serem implementadas.</w:t>
      </w:r>
    </w:p>
    <w:p w14:paraId="6D80B027" w14:textId="77777777" w:rsidR="002F615C" w:rsidRPr="00A33F81" w:rsidRDefault="003573D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Ainda que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a instituição estrangeira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possa ser considerad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como a principal fonte das informações a serem coletadas, </w:t>
      </w:r>
      <w:r w:rsidR="006B2D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caso os dados requeridos pelas normas da CVM realmente não sejam disponibilizados pela instituição estrangeira que detém as informações do cliente não residente para a instituição brasileira,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não existe nenhuma restrição </w:t>
      </w:r>
      <w:r w:rsidR="006B2D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que insumos suplementares sejam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obtidos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perante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terceiros. </w:t>
      </w:r>
    </w:p>
    <w:p w14:paraId="081200DE" w14:textId="77777777" w:rsidR="003573DB" w:rsidRPr="00A33F81" w:rsidRDefault="003573DB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Portanto, </w:t>
      </w:r>
      <w:r w:rsidR="006B2DF9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eventualmente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outras informações podem ser coletadas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de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fontes independentes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bem como </w:t>
      </w:r>
      <w:r w:rsidR="006B2DF9" w:rsidRPr="00A33F81">
        <w:rPr>
          <w:rFonts w:ascii="Calibri" w:eastAsia="Calibri" w:hAnsi="Calibri" w:cs="Calibri"/>
          <w:sz w:val="24"/>
          <w:szCs w:val="24"/>
          <w:lang w:eastAsia="en-US"/>
        </w:rPr>
        <w:t>serem efetivamente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utilizadas, desde que se mostrem úteis e confiáveis como substitutas ou boas </w:t>
      </w:r>
      <w:r w:rsidR="0099792B" w:rsidRPr="00A33F81">
        <w:rPr>
          <w:rFonts w:ascii="Calibri" w:eastAsia="Calibri" w:hAnsi="Calibri" w:cs="Calibri"/>
          <w:sz w:val="24"/>
          <w:szCs w:val="24"/>
          <w:lang w:eastAsia="en-US"/>
        </w:rPr>
        <w:t>referências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para o processo d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“Conheça o seu Cliente”.</w:t>
      </w:r>
    </w:p>
    <w:p w14:paraId="6D99F696" w14:textId="794E13D9" w:rsidR="002219A6" w:rsidRPr="00A33F81" w:rsidRDefault="003573DB" w:rsidP="00A33F81">
      <w:pPr>
        <w:tabs>
          <w:tab w:val="left" w:pos="1070"/>
        </w:tabs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Nesse contexto, caso as informações necessárias não sejam providenciadas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pela </w:t>
      </w:r>
      <w:r w:rsidR="00CB16A9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estrangeira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ou mesmo não possam ser obtidas 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perante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terceiros confiáveis, e que </w:t>
      </w:r>
      <w:r w:rsidR="006B2DF9" w:rsidRPr="00A33F81">
        <w:rPr>
          <w:rFonts w:ascii="Calibri" w:eastAsia="Calibri" w:hAnsi="Calibri" w:cs="Calibri"/>
          <w:sz w:val="24"/>
          <w:szCs w:val="24"/>
          <w:lang w:eastAsia="en-US"/>
        </w:rPr>
        <w:t>tal lacuna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impeça o pleno conhecimento do cliente classificado como investidor não residente,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>a instituição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brasileira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deverá adotar as medidas necessárias para</w:t>
      </w:r>
      <w:r w:rsidR="009505F8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considerando todas</w:t>
      </w:r>
      <w:r w:rsidR="00F8247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as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505F8" w:rsidRPr="00A33F81">
        <w:rPr>
          <w:rFonts w:ascii="Calibri" w:eastAsia="Calibri" w:hAnsi="Calibri" w:cs="Calibri"/>
          <w:sz w:val="24"/>
          <w:szCs w:val="24"/>
          <w:lang w:eastAsia="en-US"/>
        </w:rPr>
        <w:t>hipóteses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previstas nos incisos do </w:t>
      </w:r>
      <w:r w:rsidR="008025BD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art. 20 da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9505F8" w:rsidRPr="00A33F81">
        <w:rPr>
          <w:rFonts w:ascii="Calibri" w:eastAsia="Calibri" w:hAnsi="Calibri" w:cs="Calibri"/>
          <w:sz w:val="24"/>
          <w:szCs w:val="24"/>
          <w:lang w:eastAsia="en-US"/>
        </w:rPr>
        <w:t>após a análise da situação em concreto</w:t>
      </w:r>
      <w:r w:rsidR="00F82472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consoante o art. 21</w:t>
      </w:r>
      <w:r w:rsidR="009505F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avaliar a pertinência e a oportunidade</w:t>
      </w:r>
      <w:r w:rsidR="009505F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de comunicação </w:t>
      </w:r>
      <w:r w:rsidR="000C3B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dos fatos para </w:t>
      </w:r>
      <w:r w:rsidR="002D2956">
        <w:rPr>
          <w:rFonts w:ascii="Calibri" w:eastAsia="Calibri" w:hAnsi="Calibri" w:cs="Calibri"/>
          <w:sz w:val="24"/>
          <w:szCs w:val="24"/>
          <w:lang w:eastAsia="en-US"/>
        </w:rPr>
        <w:t>o COAF</w:t>
      </w:r>
      <w:r w:rsidR="002F615C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7E02F245" w14:textId="77777777" w:rsidR="003573DB" w:rsidRPr="00A33F81" w:rsidRDefault="002219A6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Além disso</w:t>
      </w:r>
      <w:r w:rsidR="002F615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24D9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também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>deve</w:t>
      </w:r>
      <w:r w:rsidR="00A24D9C" w:rsidRPr="00A33F81">
        <w:rPr>
          <w:rFonts w:ascii="Calibri" w:eastAsia="Calibri" w:hAnsi="Calibri" w:cs="Calibri"/>
          <w:sz w:val="24"/>
          <w:szCs w:val="24"/>
          <w:lang w:eastAsia="en-US"/>
        </w:rPr>
        <w:t>m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ser </w:t>
      </w:r>
      <w:r w:rsidR="00A24D9C" w:rsidRPr="00A33F81">
        <w:rPr>
          <w:rFonts w:ascii="Calibri" w:eastAsia="Calibri" w:hAnsi="Calibri" w:cs="Calibri"/>
          <w:sz w:val="24"/>
          <w:szCs w:val="24"/>
          <w:lang w:eastAsia="en-US"/>
        </w:rPr>
        <w:t>adotadas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outras medidas, tais como a avaliação da </w:t>
      </w:r>
      <w:r w:rsidR="000C3B64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respectiva 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alta administração </w:t>
      </w:r>
      <w:r w:rsidR="000C3B64" w:rsidRPr="00A33F81">
        <w:rPr>
          <w:rFonts w:ascii="Calibri" w:eastAsia="Calibri" w:hAnsi="Calibri" w:cs="Calibri"/>
          <w:sz w:val="24"/>
          <w:szCs w:val="24"/>
          <w:lang w:eastAsia="en-US"/>
        </w:rPr>
        <w:t>sobre a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manutenção da relação comercial com aquele investi</w:t>
      </w:r>
      <w:r w:rsidR="0099792B" w:rsidRPr="00A33F81">
        <w:rPr>
          <w:rFonts w:ascii="Calibri" w:eastAsia="Calibri" w:hAnsi="Calibri" w:cs="Calibri"/>
          <w:sz w:val="24"/>
          <w:szCs w:val="24"/>
          <w:lang w:eastAsia="en-US"/>
        </w:rPr>
        <w:t>dor não residente</w:t>
      </w:r>
      <w:r w:rsidR="003573DB" w:rsidRPr="00A33F81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7273C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10E71730" w14:textId="77777777" w:rsidR="004962CF" w:rsidRDefault="005E4140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Cabe enfatizar que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, o não conhecimento do beneficiário final</w:t>
      </w:r>
      <w:r w:rsidR="002219A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nas situações em que for aplicável</w:t>
      </w:r>
      <w:r w:rsidR="002219A6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 qualquer cliente brasileiro ou estrangeiro, </w:t>
      </w:r>
      <w:r w:rsidR="002219A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residente ou não residente,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independentemente da utilização do cadastro simplificado</w:t>
      </w:r>
      <w:r w:rsidR="002219A6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deverá sempre estar pautad</w:t>
      </w:r>
      <w:r w:rsidR="0025350F" w:rsidRPr="00A33F81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em evidências de que foram conduzidas as devidas diligências visando esse fim</w:t>
      </w:r>
      <w:r w:rsidR="00B62D2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no limite das atribuições da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2C2A51F4" w14:textId="4AFA0EFB" w:rsidR="002926EB" w:rsidRPr="00A33F81" w:rsidRDefault="00521872" w:rsidP="004962CF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deve observar que o não conhecimento do beneficiário final, não é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por si só, elemento suficiente para o envio de uma comunicação para </w:t>
      </w:r>
      <w:r w:rsidR="002D2956">
        <w:rPr>
          <w:rFonts w:ascii="Calibri" w:eastAsia="Calibri" w:hAnsi="Calibri" w:cs="Calibri"/>
          <w:sz w:val="24"/>
          <w:szCs w:val="24"/>
          <w:lang w:eastAsia="en-US"/>
        </w:rPr>
        <w:t>o COAF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 w:rsidR="00B62D28" w:rsidRPr="00A33F8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m consequência</w:t>
      </w:r>
      <w:r w:rsidR="00B62D28" w:rsidRPr="00A33F81">
        <w:rPr>
          <w:rFonts w:ascii="Calibri" w:eastAsia="Calibri" w:hAnsi="Calibri" w:cs="Calibri"/>
          <w:sz w:val="24"/>
          <w:szCs w:val="24"/>
          <w:lang w:eastAsia="en-US"/>
        </w:rPr>
        <w:t>, tal fato deve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5350F" w:rsidRPr="00A33F81">
        <w:rPr>
          <w:rFonts w:ascii="Calibri" w:eastAsia="Calibri" w:hAnsi="Calibri" w:cs="Calibri"/>
          <w:sz w:val="24"/>
          <w:szCs w:val="24"/>
          <w:lang w:eastAsia="en-US"/>
        </w:rPr>
        <w:t>proporcionar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um monitoramento </w:t>
      </w:r>
      <w:r w:rsidR="00B62D28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contínuo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mais rigoroso</w:t>
      </w:r>
      <w:r w:rsidR="00B62D28" w:rsidRPr="00A33F81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visando a detecção de outras operações ou situações atípicas, nos termos do art. 20</w:t>
      </w:r>
      <w:r w:rsidR="002219A6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da </w:t>
      </w:r>
      <w:r w:rsidR="00743307" w:rsidRPr="00A33F81">
        <w:rPr>
          <w:rFonts w:ascii="Calibri" w:eastAsia="Calibri" w:hAnsi="Calibri" w:cs="Calibri"/>
          <w:sz w:val="24"/>
          <w:szCs w:val="24"/>
          <w:lang w:eastAsia="en-US"/>
        </w:rPr>
        <w:t>Resolução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, independentemente da classificação de risco desse investidor.</w:t>
      </w:r>
    </w:p>
    <w:p w14:paraId="2765F9F1" w14:textId="761D8959" w:rsidR="002926EB" w:rsidRPr="00A33F81" w:rsidRDefault="00B62D28" w:rsidP="00A33F81">
      <w:pPr>
        <w:spacing w:before="120" w:after="120" w:line="312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Finalmente,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na hipótese de serem detectad</w:t>
      </w:r>
      <w:r w:rsidR="00FC7B2C" w:rsidRPr="00A33F81"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s atipicidades suplementares,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a </w:t>
      </w:r>
      <w:r w:rsidR="000C6D27" w:rsidRPr="00A33F81">
        <w:rPr>
          <w:rFonts w:ascii="Calibri" w:eastAsia="Calibri" w:hAnsi="Calibri" w:cs="Calibri"/>
          <w:sz w:val="24"/>
          <w:szCs w:val="24"/>
          <w:lang w:eastAsia="en-US"/>
        </w:rPr>
        <w:t>instituição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de</w:t>
      </w:r>
      <w:r w:rsidR="0099792B" w:rsidRPr="00A33F81">
        <w:rPr>
          <w:rFonts w:ascii="Calibri" w:eastAsia="Calibri" w:hAnsi="Calibri" w:cs="Calibri"/>
          <w:sz w:val="24"/>
          <w:szCs w:val="24"/>
          <w:lang w:eastAsia="en-US"/>
        </w:rPr>
        <w:t>v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e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conduzir uma análise mais </w:t>
      </w:r>
      <w:r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profunda, 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>com vistas à verificação da necessidade das comunicações de que tratam os arts. 2</w:t>
      </w:r>
      <w:r w:rsidR="00707D9B" w:rsidRPr="00A33F81">
        <w:rPr>
          <w:rFonts w:ascii="Calibri" w:eastAsia="Calibri" w:hAnsi="Calibri" w:cs="Calibri"/>
          <w:sz w:val="24"/>
          <w:szCs w:val="24"/>
          <w:lang w:eastAsia="en-US"/>
        </w:rPr>
        <w:t>2 e</w:t>
      </w:r>
      <w:r w:rsidR="002926E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2</w:t>
      </w:r>
      <w:r w:rsidR="00707D9B" w:rsidRPr="00A33F8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="005526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, sempre atentando para os parâmetros mínimos que devem integrar um reporte para </w:t>
      </w:r>
      <w:r w:rsidR="002D2956">
        <w:rPr>
          <w:rFonts w:ascii="Calibri" w:eastAsia="Calibri" w:hAnsi="Calibri" w:cs="Calibri"/>
          <w:sz w:val="24"/>
          <w:szCs w:val="24"/>
          <w:lang w:eastAsia="en-US"/>
        </w:rPr>
        <w:t>o COAF</w:t>
      </w:r>
      <w:r w:rsidR="005526FB" w:rsidRPr="00A33F81">
        <w:rPr>
          <w:rFonts w:ascii="Calibri" w:eastAsia="Calibri" w:hAnsi="Calibri" w:cs="Calibri"/>
          <w:sz w:val="24"/>
          <w:szCs w:val="24"/>
          <w:lang w:eastAsia="en-US"/>
        </w:rPr>
        <w:t>, conforme</w:t>
      </w:r>
      <w:r w:rsidR="00EA5DFC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o disposto no</w:t>
      </w:r>
      <w:r w:rsidR="005526FB" w:rsidRPr="00A33F81">
        <w:rPr>
          <w:rFonts w:ascii="Calibri" w:eastAsia="Calibri" w:hAnsi="Calibri" w:cs="Calibri"/>
          <w:sz w:val="24"/>
          <w:szCs w:val="24"/>
          <w:lang w:eastAsia="en-US"/>
        </w:rPr>
        <w:t xml:space="preserve"> § 1º do art. 22.</w:t>
      </w:r>
    </w:p>
    <w:p w14:paraId="0E3264E6" w14:textId="77777777" w:rsidR="002926EB" w:rsidRPr="000952E3" w:rsidRDefault="002926EB" w:rsidP="000C6D27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14:paraId="3E5596EF" w14:textId="0133CA01" w:rsidR="00982DAA" w:rsidRPr="008118EE" w:rsidRDefault="0090731A" w:rsidP="000C6D27">
      <w:pPr>
        <w:spacing w:line="312" w:lineRule="auto"/>
        <w:jc w:val="center"/>
        <w:rPr>
          <w:rFonts w:ascii="Calibri" w:hAnsi="Calibri" w:cs="Calibri"/>
          <w:i/>
          <w:sz w:val="24"/>
          <w:szCs w:val="24"/>
        </w:rPr>
      </w:pPr>
      <w:r w:rsidRPr="00A33F81">
        <w:rPr>
          <w:rFonts w:ascii="Calibri" w:hAnsi="Calibri" w:cs="Calibri"/>
          <w:i/>
          <w:sz w:val="24"/>
          <w:szCs w:val="24"/>
        </w:rPr>
        <w:t>Assinado eletronicamente por</w:t>
      </w:r>
    </w:p>
    <w:p w14:paraId="748C1E52" w14:textId="77777777" w:rsidR="00982DAA" w:rsidRPr="004962CF" w:rsidRDefault="00A31A04" w:rsidP="004962CF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962C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MARCELO BARBOSA</w:t>
      </w:r>
    </w:p>
    <w:p w14:paraId="3E742547" w14:textId="77777777" w:rsidR="00BE5BA7" w:rsidRPr="004962CF" w:rsidRDefault="00982DAA" w:rsidP="004962CF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962C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Presidente </w:t>
      </w:r>
    </w:p>
    <w:sectPr w:rsidR="00BE5BA7" w:rsidRPr="004962CF" w:rsidSect="00DC2E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4DE3" w14:textId="77777777" w:rsidR="00F87021" w:rsidRDefault="00F87021" w:rsidP="00EE27CD">
      <w:r>
        <w:separator/>
      </w:r>
    </w:p>
  </w:endnote>
  <w:endnote w:type="continuationSeparator" w:id="0">
    <w:p w14:paraId="0DA73C83" w14:textId="77777777" w:rsidR="00F87021" w:rsidRDefault="00F87021" w:rsidP="00EE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B9CA" w14:textId="757A4B38" w:rsidR="00561100" w:rsidRDefault="0056110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33F81" w:rsidRPr="00A33F81">
      <w:rPr>
        <w:noProof/>
        <w:lang w:val="pt-BR"/>
      </w:rPr>
      <w:t>10</w:t>
    </w:r>
    <w:r>
      <w:fldChar w:fldCharType="end"/>
    </w:r>
  </w:p>
  <w:p w14:paraId="61A66587" w14:textId="77777777" w:rsidR="00561100" w:rsidRDefault="005611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CAE1" w14:textId="06175F48" w:rsidR="00545EC8" w:rsidRDefault="00545EC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33F81" w:rsidRPr="00A33F81">
      <w:rPr>
        <w:noProof/>
        <w:lang w:val="pt-BR"/>
      </w:rPr>
      <w:t>1</w:t>
    </w:r>
    <w:r>
      <w:fldChar w:fldCharType="end"/>
    </w:r>
  </w:p>
  <w:p w14:paraId="42A0EA49" w14:textId="77777777" w:rsidR="00545EC8" w:rsidRDefault="00545E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EBC7" w14:textId="77777777" w:rsidR="00F87021" w:rsidRDefault="00F87021" w:rsidP="00EE27CD">
      <w:r>
        <w:separator/>
      </w:r>
    </w:p>
  </w:footnote>
  <w:footnote w:type="continuationSeparator" w:id="0">
    <w:p w14:paraId="7779624C" w14:textId="77777777" w:rsidR="00F87021" w:rsidRDefault="00F87021" w:rsidP="00EE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7B96" w14:textId="77777777" w:rsidR="001E6AB4" w:rsidRPr="001E6AB4" w:rsidRDefault="001E6AB4" w:rsidP="001E6AB4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E6AB4">
      <w:rPr>
        <w:rFonts w:ascii="Calibri" w:eastAsia="Calibri" w:hAnsi="Calibri" w:cs="Calibri"/>
        <w:noProof/>
        <w:sz w:val="18"/>
        <w:szCs w:val="18"/>
      </w:rPr>
      <w:drawing>
        <wp:inline distT="0" distB="0" distL="0" distR="0" wp14:anchorId="1A971A78" wp14:editId="31DF1DB3">
          <wp:extent cx="657225" cy="628650"/>
          <wp:effectExtent l="0" t="0" r="9525" b="0"/>
          <wp:docPr id="6" name="Imagem 6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0ED27" w14:textId="77777777" w:rsidR="001E6AB4" w:rsidRPr="001E6AB4" w:rsidRDefault="001E6AB4" w:rsidP="001E6AB4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1E6AB4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08E6CBD6" w14:textId="77777777" w:rsidR="001E6AB4" w:rsidRPr="001E6AB4" w:rsidRDefault="001E6AB4" w:rsidP="001E6AB4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E6AB4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19267BFA" w14:textId="77777777" w:rsidR="001E6AB4" w:rsidRPr="001E6AB4" w:rsidRDefault="001E6AB4" w:rsidP="001E6AB4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E6AB4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746EF83D" w14:textId="77777777" w:rsidR="001E6AB4" w:rsidRPr="001E6AB4" w:rsidRDefault="001E6AB4" w:rsidP="001E6AB4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E6AB4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03634DE" w14:textId="77777777" w:rsidR="001E6AB4" w:rsidRPr="001E6AB4" w:rsidRDefault="00FA26E7" w:rsidP="001E6AB4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1E6AB4" w:rsidRPr="001E6AB4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p w14:paraId="4684785F" w14:textId="77777777" w:rsidR="00D74AE4" w:rsidRDefault="00D74AE4">
    <w:pPr>
      <w:pStyle w:val="Cabealho"/>
      <w:rPr>
        <w:noProof/>
        <w:lang w:val="pt-BR"/>
      </w:rPr>
    </w:pPr>
  </w:p>
  <w:p w14:paraId="630A9EFD" w14:textId="5025BA79" w:rsidR="000A1D14" w:rsidRPr="00DF07B5" w:rsidRDefault="000A1D14">
    <w:pPr>
      <w:pStyle w:val="Cabealho"/>
      <w:rPr>
        <w:rFonts w:asciiTheme="minorHAnsi" w:hAnsiTheme="minorHAnsi" w:cstheme="minorHAnsi"/>
        <w:smallCaps/>
        <w:noProof/>
        <w:sz w:val="18"/>
        <w:szCs w:val="18"/>
        <w:lang w:val="pt-BR"/>
      </w:rPr>
    </w:pPr>
    <w:r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NOTA EXPLICATIVA À </w:t>
    </w:r>
    <w:r w:rsidR="003B5AB9"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RESOLUÇÃO </w:t>
    </w:r>
    <w:r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CVM Nº </w:t>
    </w:r>
    <w:r w:rsidR="00764566"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>50</w:t>
    </w:r>
    <w:r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, DE </w:t>
    </w:r>
    <w:r w:rsidR="003B5AB9"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31 </w:t>
    </w:r>
    <w:r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DE </w:t>
    </w:r>
    <w:r w:rsidR="003B5AB9"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AGOSTO </w:t>
    </w:r>
    <w:r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 xml:space="preserve">DE </w:t>
    </w:r>
    <w:r w:rsidR="003B5AB9" w:rsidRPr="00DF07B5">
      <w:rPr>
        <w:rFonts w:asciiTheme="minorHAnsi" w:hAnsiTheme="minorHAnsi" w:cstheme="minorHAnsi"/>
        <w:smallCaps/>
        <w:noProof/>
        <w:sz w:val="18"/>
        <w:szCs w:val="18"/>
        <w:lang w:val="pt-BR"/>
      </w:rPr>
      <w:t>2021</w:t>
    </w:r>
  </w:p>
  <w:p w14:paraId="29823EE1" w14:textId="77777777" w:rsidR="000A1D14" w:rsidRPr="002465B4" w:rsidRDefault="000A1D14">
    <w:pPr>
      <w:pStyle w:val="Cabealho"/>
      <w:rPr>
        <w:smallCaps/>
        <w:noProof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24CB" w14:textId="77777777" w:rsidR="00E4063E" w:rsidRPr="00E4063E" w:rsidRDefault="00E4063E" w:rsidP="00E4063E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E4063E">
      <w:rPr>
        <w:rFonts w:ascii="Calibri" w:eastAsia="Calibri" w:hAnsi="Calibri" w:cs="Calibri"/>
        <w:noProof/>
        <w:sz w:val="18"/>
        <w:szCs w:val="18"/>
      </w:rPr>
      <w:drawing>
        <wp:inline distT="0" distB="0" distL="0" distR="0" wp14:anchorId="14518135" wp14:editId="15D68E05">
          <wp:extent cx="657225" cy="628650"/>
          <wp:effectExtent l="0" t="0" r="9525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25C95" w14:textId="77777777" w:rsidR="00E4063E" w:rsidRPr="00E4063E" w:rsidRDefault="00E4063E" w:rsidP="00E4063E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E4063E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69B69BFD" w14:textId="77777777" w:rsidR="00E4063E" w:rsidRPr="00E4063E" w:rsidRDefault="00E4063E" w:rsidP="00E4063E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E4063E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1D8B2D47" w14:textId="77777777" w:rsidR="00E4063E" w:rsidRPr="00E4063E" w:rsidRDefault="00E4063E" w:rsidP="00E4063E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E4063E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7F54B3A3" w14:textId="77777777" w:rsidR="00E4063E" w:rsidRPr="00E4063E" w:rsidRDefault="00E4063E" w:rsidP="00E4063E">
    <w:pPr>
      <w:tabs>
        <w:tab w:val="center" w:pos="4252"/>
        <w:tab w:val="right" w:pos="8504"/>
      </w:tabs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E4063E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F7C72EB" w14:textId="77777777" w:rsidR="00E4063E" w:rsidRPr="00E4063E" w:rsidRDefault="00FA26E7" w:rsidP="00E4063E">
    <w:pPr>
      <w:tabs>
        <w:tab w:val="center" w:pos="4252"/>
        <w:tab w:val="right" w:pos="8504"/>
      </w:tabs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E4063E" w:rsidRPr="00E4063E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  <w:p w14:paraId="595A2F92" w14:textId="77777777" w:rsidR="00D74AE4" w:rsidRDefault="00D74AE4" w:rsidP="007D6BB6">
    <w:pPr>
      <w:pStyle w:val="Cabealho"/>
      <w:rPr>
        <w:noProof/>
        <w:lang w:val="pt-BR"/>
      </w:rPr>
    </w:pPr>
  </w:p>
  <w:p w14:paraId="73DFCE53" w14:textId="77777777" w:rsidR="00D74AE4" w:rsidRDefault="00D74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52"/>
    <w:multiLevelType w:val="hybridMultilevel"/>
    <w:tmpl w:val="EAE4D99C"/>
    <w:lvl w:ilvl="0" w:tplc="B5E243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7F2356"/>
    <w:multiLevelType w:val="hybridMultilevel"/>
    <w:tmpl w:val="9CA28236"/>
    <w:lvl w:ilvl="0" w:tplc="A7C8307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9149E9"/>
    <w:multiLevelType w:val="hybridMultilevel"/>
    <w:tmpl w:val="1C8ECA44"/>
    <w:lvl w:ilvl="0" w:tplc="B540039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DD6C37"/>
    <w:multiLevelType w:val="hybridMultilevel"/>
    <w:tmpl w:val="DB362ECA"/>
    <w:lvl w:ilvl="0" w:tplc="43601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A80B9F"/>
    <w:multiLevelType w:val="hybridMultilevel"/>
    <w:tmpl w:val="95DE0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CD"/>
    <w:rsid w:val="000042A4"/>
    <w:rsid w:val="000062FB"/>
    <w:rsid w:val="00014CC2"/>
    <w:rsid w:val="000325E1"/>
    <w:rsid w:val="00032C8A"/>
    <w:rsid w:val="0003452E"/>
    <w:rsid w:val="00034C82"/>
    <w:rsid w:val="00034FFD"/>
    <w:rsid w:val="00036A63"/>
    <w:rsid w:val="0004230C"/>
    <w:rsid w:val="00043A49"/>
    <w:rsid w:val="00044D9F"/>
    <w:rsid w:val="00046CDD"/>
    <w:rsid w:val="0005218C"/>
    <w:rsid w:val="00052E7C"/>
    <w:rsid w:val="000536D6"/>
    <w:rsid w:val="00056538"/>
    <w:rsid w:val="0006554B"/>
    <w:rsid w:val="000659E7"/>
    <w:rsid w:val="00071A45"/>
    <w:rsid w:val="00071D78"/>
    <w:rsid w:val="00071F77"/>
    <w:rsid w:val="00075751"/>
    <w:rsid w:val="00091F6A"/>
    <w:rsid w:val="000952E3"/>
    <w:rsid w:val="00097B01"/>
    <w:rsid w:val="000A1D14"/>
    <w:rsid w:val="000A4219"/>
    <w:rsid w:val="000B26BE"/>
    <w:rsid w:val="000C20ED"/>
    <w:rsid w:val="000C257F"/>
    <w:rsid w:val="000C3B64"/>
    <w:rsid w:val="000C6606"/>
    <w:rsid w:val="000C6D27"/>
    <w:rsid w:val="000D4D64"/>
    <w:rsid w:val="000E0435"/>
    <w:rsid w:val="000E0C96"/>
    <w:rsid w:val="000E125D"/>
    <w:rsid w:val="000F2E35"/>
    <w:rsid w:val="000F7437"/>
    <w:rsid w:val="001075C8"/>
    <w:rsid w:val="00122564"/>
    <w:rsid w:val="00124975"/>
    <w:rsid w:val="00130674"/>
    <w:rsid w:val="00135E5A"/>
    <w:rsid w:val="00147F0A"/>
    <w:rsid w:val="00150873"/>
    <w:rsid w:val="00160F97"/>
    <w:rsid w:val="00164112"/>
    <w:rsid w:val="0017459C"/>
    <w:rsid w:val="00177D8D"/>
    <w:rsid w:val="001A09B5"/>
    <w:rsid w:val="001A3685"/>
    <w:rsid w:val="001A7DCE"/>
    <w:rsid w:val="001C4CFF"/>
    <w:rsid w:val="001D18EA"/>
    <w:rsid w:val="001E01CD"/>
    <w:rsid w:val="001E6AB4"/>
    <w:rsid w:val="001F1383"/>
    <w:rsid w:val="001F2F9F"/>
    <w:rsid w:val="002044E0"/>
    <w:rsid w:val="00207886"/>
    <w:rsid w:val="002130AC"/>
    <w:rsid w:val="00213A65"/>
    <w:rsid w:val="002219A6"/>
    <w:rsid w:val="00230F80"/>
    <w:rsid w:val="00232AAF"/>
    <w:rsid w:val="00237D3C"/>
    <w:rsid w:val="002465B4"/>
    <w:rsid w:val="00252547"/>
    <w:rsid w:val="0025350F"/>
    <w:rsid w:val="00256B39"/>
    <w:rsid w:val="00271C3E"/>
    <w:rsid w:val="00282993"/>
    <w:rsid w:val="00284B98"/>
    <w:rsid w:val="00285C5F"/>
    <w:rsid w:val="002926EB"/>
    <w:rsid w:val="002A10AD"/>
    <w:rsid w:val="002B2A17"/>
    <w:rsid w:val="002D2956"/>
    <w:rsid w:val="002E4E06"/>
    <w:rsid w:val="002E53A4"/>
    <w:rsid w:val="002F615C"/>
    <w:rsid w:val="003015FC"/>
    <w:rsid w:val="00304174"/>
    <w:rsid w:val="00305AE7"/>
    <w:rsid w:val="00305E3D"/>
    <w:rsid w:val="00313B68"/>
    <w:rsid w:val="00313EE3"/>
    <w:rsid w:val="00325EB8"/>
    <w:rsid w:val="00334968"/>
    <w:rsid w:val="003361F2"/>
    <w:rsid w:val="003400B4"/>
    <w:rsid w:val="003422E3"/>
    <w:rsid w:val="00345EBC"/>
    <w:rsid w:val="003479FC"/>
    <w:rsid w:val="003573DB"/>
    <w:rsid w:val="003604FB"/>
    <w:rsid w:val="00361657"/>
    <w:rsid w:val="00361BEF"/>
    <w:rsid w:val="00363A56"/>
    <w:rsid w:val="0037215F"/>
    <w:rsid w:val="00383E92"/>
    <w:rsid w:val="0039147F"/>
    <w:rsid w:val="00393AD1"/>
    <w:rsid w:val="003A5A1E"/>
    <w:rsid w:val="003A5F56"/>
    <w:rsid w:val="003B5AB9"/>
    <w:rsid w:val="003C00BB"/>
    <w:rsid w:val="003D538D"/>
    <w:rsid w:val="003E494D"/>
    <w:rsid w:val="003E5868"/>
    <w:rsid w:val="003F5F97"/>
    <w:rsid w:val="004025EA"/>
    <w:rsid w:val="00405054"/>
    <w:rsid w:val="0040738D"/>
    <w:rsid w:val="00410703"/>
    <w:rsid w:val="00411516"/>
    <w:rsid w:val="00413FBF"/>
    <w:rsid w:val="004273E8"/>
    <w:rsid w:val="00447463"/>
    <w:rsid w:val="00455394"/>
    <w:rsid w:val="00471417"/>
    <w:rsid w:val="00483572"/>
    <w:rsid w:val="00487980"/>
    <w:rsid w:val="004962CF"/>
    <w:rsid w:val="004B0D23"/>
    <w:rsid w:val="004B2B36"/>
    <w:rsid w:val="004B4CBF"/>
    <w:rsid w:val="004B7CA0"/>
    <w:rsid w:val="004C0A4B"/>
    <w:rsid w:val="004C71AC"/>
    <w:rsid w:val="004D3FCD"/>
    <w:rsid w:val="004E3A38"/>
    <w:rsid w:val="004F57EE"/>
    <w:rsid w:val="00501926"/>
    <w:rsid w:val="00506E79"/>
    <w:rsid w:val="005149A6"/>
    <w:rsid w:val="005166C1"/>
    <w:rsid w:val="00521872"/>
    <w:rsid w:val="00522CC4"/>
    <w:rsid w:val="00525BE6"/>
    <w:rsid w:val="005302F3"/>
    <w:rsid w:val="00532CAF"/>
    <w:rsid w:val="005341C0"/>
    <w:rsid w:val="00536A2A"/>
    <w:rsid w:val="00536EB3"/>
    <w:rsid w:val="0054360C"/>
    <w:rsid w:val="00545EC8"/>
    <w:rsid w:val="005526FB"/>
    <w:rsid w:val="00561100"/>
    <w:rsid w:val="005726DF"/>
    <w:rsid w:val="00587A1D"/>
    <w:rsid w:val="005A0AEC"/>
    <w:rsid w:val="005A6E98"/>
    <w:rsid w:val="005B768F"/>
    <w:rsid w:val="005C5FD5"/>
    <w:rsid w:val="005C7666"/>
    <w:rsid w:val="005D3348"/>
    <w:rsid w:val="005E4140"/>
    <w:rsid w:val="005F531E"/>
    <w:rsid w:val="00635097"/>
    <w:rsid w:val="0064645D"/>
    <w:rsid w:val="00671E20"/>
    <w:rsid w:val="00674CDA"/>
    <w:rsid w:val="00677FC1"/>
    <w:rsid w:val="00680FF9"/>
    <w:rsid w:val="006A1936"/>
    <w:rsid w:val="006A703C"/>
    <w:rsid w:val="006B0C26"/>
    <w:rsid w:val="006B2DF9"/>
    <w:rsid w:val="006B5307"/>
    <w:rsid w:val="006B7F6B"/>
    <w:rsid w:val="006D7BEA"/>
    <w:rsid w:val="006E29C2"/>
    <w:rsid w:val="006E2E9C"/>
    <w:rsid w:val="006E62AE"/>
    <w:rsid w:val="006E6971"/>
    <w:rsid w:val="006F0D11"/>
    <w:rsid w:val="00701C06"/>
    <w:rsid w:val="00704707"/>
    <w:rsid w:val="00704839"/>
    <w:rsid w:val="00707D9B"/>
    <w:rsid w:val="007163D1"/>
    <w:rsid w:val="007201F3"/>
    <w:rsid w:val="00720264"/>
    <w:rsid w:val="00720BFE"/>
    <w:rsid w:val="007266C1"/>
    <w:rsid w:val="007273CB"/>
    <w:rsid w:val="00727A0E"/>
    <w:rsid w:val="00730945"/>
    <w:rsid w:val="00736024"/>
    <w:rsid w:val="00742821"/>
    <w:rsid w:val="00743307"/>
    <w:rsid w:val="00756D22"/>
    <w:rsid w:val="007632E4"/>
    <w:rsid w:val="00764566"/>
    <w:rsid w:val="00767A85"/>
    <w:rsid w:val="00772354"/>
    <w:rsid w:val="00775A18"/>
    <w:rsid w:val="00775EA8"/>
    <w:rsid w:val="00776E9F"/>
    <w:rsid w:val="00797D1B"/>
    <w:rsid w:val="007A45BE"/>
    <w:rsid w:val="007B140D"/>
    <w:rsid w:val="007B2C71"/>
    <w:rsid w:val="007B6C62"/>
    <w:rsid w:val="007C5F0C"/>
    <w:rsid w:val="007D56B0"/>
    <w:rsid w:val="007D6BB6"/>
    <w:rsid w:val="007E47A5"/>
    <w:rsid w:val="007F489D"/>
    <w:rsid w:val="007F6B45"/>
    <w:rsid w:val="007F73F5"/>
    <w:rsid w:val="008025BD"/>
    <w:rsid w:val="00802E07"/>
    <w:rsid w:val="00803F4B"/>
    <w:rsid w:val="008118EE"/>
    <w:rsid w:val="0081492B"/>
    <w:rsid w:val="00815CCC"/>
    <w:rsid w:val="00816ADA"/>
    <w:rsid w:val="008234F4"/>
    <w:rsid w:val="00827388"/>
    <w:rsid w:val="00827C55"/>
    <w:rsid w:val="00831731"/>
    <w:rsid w:val="008334AD"/>
    <w:rsid w:val="00833575"/>
    <w:rsid w:val="00840F8E"/>
    <w:rsid w:val="008559B0"/>
    <w:rsid w:val="008710B0"/>
    <w:rsid w:val="00872679"/>
    <w:rsid w:val="00872E4F"/>
    <w:rsid w:val="0087302C"/>
    <w:rsid w:val="00873C7F"/>
    <w:rsid w:val="008944E2"/>
    <w:rsid w:val="0089526F"/>
    <w:rsid w:val="00896232"/>
    <w:rsid w:val="00897C1A"/>
    <w:rsid w:val="008A591B"/>
    <w:rsid w:val="008B0F48"/>
    <w:rsid w:val="008B54F5"/>
    <w:rsid w:val="008C4F47"/>
    <w:rsid w:val="008C7E2F"/>
    <w:rsid w:val="008D5663"/>
    <w:rsid w:val="008E4CA5"/>
    <w:rsid w:val="00906482"/>
    <w:rsid w:val="0090731A"/>
    <w:rsid w:val="00921226"/>
    <w:rsid w:val="009505F8"/>
    <w:rsid w:val="00951759"/>
    <w:rsid w:val="00952ECB"/>
    <w:rsid w:val="00971084"/>
    <w:rsid w:val="00973329"/>
    <w:rsid w:val="00980B3D"/>
    <w:rsid w:val="00982DAA"/>
    <w:rsid w:val="00982F96"/>
    <w:rsid w:val="00986A21"/>
    <w:rsid w:val="0099459F"/>
    <w:rsid w:val="009974D5"/>
    <w:rsid w:val="0099792B"/>
    <w:rsid w:val="009B0E8B"/>
    <w:rsid w:val="009B3010"/>
    <w:rsid w:val="009E0734"/>
    <w:rsid w:val="009E1CEA"/>
    <w:rsid w:val="009E21F6"/>
    <w:rsid w:val="009E352F"/>
    <w:rsid w:val="00A03CB1"/>
    <w:rsid w:val="00A147BA"/>
    <w:rsid w:val="00A167A3"/>
    <w:rsid w:val="00A174FB"/>
    <w:rsid w:val="00A24D9C"/>
    <w:rsid w:val="00A27F62"/>
    <w:rsid w:val="00A31A04"/>
    <w:rsid w:val="00A33F81"/>
    <w:rsid w:val="00A4729A"/>
    <w:rsid w:val="00A5A226"/>
    <w:rsid w:val="00A71A7F"/>
    <w:rsid w:val="00A71DB1"/>
    <w:rsid w:val="00A731CF"/>
    <w:rsid w:val="00A74359"/>
    <w:rsid w:val="00A765A5"/>
    <w:rsid w:val="00A9117B"/>
    <w:rsid w:val="00A91B95"/>
    <w:rsid w:val="00AA3931"/>
    <w:rsid w:val="00AB7D80"/>
    <w:rsid w:val="00AD1D52"/>
    <w:rsid w:val="00AD1DFF"/>
    <w:rsid w:val="00AE36F0"/>
    <w:rsid w:val="00AE6539"/>
    <w:rsid w:val="00AF1437"/>
    <w:rsid w:val="00AF160A"/>
    <w:rsid w:val="00B07DC0"/>
    <w:rsid w:val="00B07FE0"/>
    <w:rsid w:val="00B1601B"/>
    <w:rsid w:val="00B30F30"/>
    <w:rsid w:val="00B3484B"/>
    <w:rsid w:val="00B35513"/>
    <w:rsid w:val="00B4749D"/>
    <w:rsid w:val="00B515DB"/>
    <w:rsid w:val="00B549ED"/>
    <w:rsid w:val="00B620DA"/>
    <w:rsid w:val="00B62D28"/>
    <w:rsid w:val="00B7064A"/>
    <w:rsid w:val="00B735F7"/>
    <w:rsid w:val="00B75C54"/>
    <w:rsid w:val="00B779E4"/>
    <w:rsid w:val="00B83ABC"/>
    <w:rsid w:val="00B872BE"/>
    <w:rsid w:val="00B90146"/>
    <w:rsid w:val="00B918E0"/>
    <w:rsid w:val="00B9743A"/>
    <w:rsid w:val="00BA15BD"/>
    <w:rsid w:val="00BB7015"/>
    <w:rsid w:val="00BC19C4"/>
    <w:rsid w:val="00BC2878"/>
    <w:rsid w:val="00BD227F"/>
    <w:rsid w:val="00BE5BA7"/>
    <w:rsid w:val="00C05C16"/>
    <w:rsid w:val="00C1001C"/>
    <w:rsid w:val="00C1575C"/>
    <w:rsid w:val="00C3658B"/>
    <w:rsid w:val="00C430DF"/>
    <w:rsid w:val="00C52D45"/>
    <w:rsid w:val="00C57EE5"/>
    <w:rsid w:val="00C61504"/>
    <w:rsid w:val="00C6487F"/>
    <w:rsid w:val="00C805BA"/>
    <w:rsid w:val="00C9107C"/>
    <w:rsid w:val="00C93D80"/>
    <w:rsid w:val="00CA17FA"/>
    <w:rsid w:val="00CB16A9"/>
    <w:rsid w:val="00CB2AA9"/>
    <w:rsid w:val="00CB6426"/>
    <w:rsid w:val="00CC50B9"/>
    <w:rsid w:val="00CD426E"/>
    <w:rsid w:val="00CE2B1A"/>
    <w:rsid w:val="00CE439C"/>
    <w:rsid w:val="00CE65E5"/>
    <w:rsid w:val="00CF3F33"/>
    <w:rsid w:val="00CF498B"/>
    <w:rsid w:val="00D06C12"/>
    <w:rsid w:val="00D247CF"/>
    <w:rsid w:val="00D474BB"/>
    <w:rsid w:val="00D5494C"/>
    <w:rsid w:val="00D7071B"/>
    <w:rsid w:val="00D718B6"/>
    <w:rsid w:val="00D73541"/>
    <w:rsid w:val="00D74AE4"/>
    <w:rsid w:val="00D755D6"/>
    <w:rsid w:val="00D764E6"/>
    <w:rsid w:val="00D771DA"/>
    <w:rsid w:val="00D81FA7"/>
    <w:rsid w:val="00D93F27"/>
    <w:rsid w:val="00DA2F43"/>
    <w:rsid w:val="00DB2370"/>
    <w:rsid w:val="00DC14A8"/>
    <w:rsid w:val="00DC2E9D"/>
    <w:rsid w:val="00DD64F4"/>
    <w:rsid w:val="00DE4C10"/>
    <w:rsid w:val="00DE5988"/>
    <w:rsid w:val="00DF07B5"/>
    <w:rsid w:val="00DF0B5B"/>
    <w:rsid w:val="00E0205F"/>
    <w:rsid w:val="00E02EF9"/>
    <w:rsid w:val="00E06380"/>
    <w:rsid w:val="00E06787"/>
    <w:rsid w:val="00E3396A"/>
    <w:rsid w:val="00E37073"/>
    <w:rsid w:val="00E4063E"/>
    <w:rsid w:val="00E46015"/>
    <w:rsid w:val="00E520E0"/>
    <w:rsid w:val="00E53E1B"/>
    <w:rsid w:val="00E6567D"/>
    <w:rsid w:val="00E675E4"/>
    <w:rsid w:val="00E719B1"/>
    <w:rsid w:val="00E74568"/>
    <w:rsid w:val="00E86BCE"/>
    <w:rsid w:val="00E94BC2"/>
    <w:rsid w:val="00EA5DFC"/>
    <w:rsid w:val="00EB6DBC"/>
    <w:rsid w:val="00EC0BA7"/>
    <w:rsid w:val="00EC28AD"/>
    <w:rsid w:val="00ED09B1"/>
    <w:rsid w:val="00ED798A"/>
    <w:rsid w:val="00EE27CD"/>
    <w:rsid w:val="00EF57F5"/>
    <w:rsid w:val="00EF5F63"/>
    <w:rsid w:val="00EF7F50"/>
    <w:rsid w:val="00F0418A"/>
    <w:rsid w:val="00F0615E"/>
    <w:rsid w:val="00F07A83"/>
    <w:rsid w:val="00F669EF"/>
    <w:rsid w:val="00F72060"/>
    <w:rsid w:val="00F72FDD"/>
    <w:rsid w:val="00F73385"/>
    <w:rsid w:val="00F74B9C"/>
    <w:rsid w:val="00F81CAB"/>
    <w:rsid w:val="00F8232B"/>
    <w:rsid w:val="00F82472"/>
    <w:rsid w:val="00F82891"/>
    <w:rsid w:val="00F87021"/>
    <w:rsid w:val="00F93D99"/>
    <w:rsid w:val="00F94013"/>
    <w:rsid w:val="00FA26E7"/>
    <w:rsid w:val="00FA6462"/>
    <w:rsid w:val="00FC7B2C"/>
    <w:rsid w:val="00FD50AA"/>
    <w:rsid w:val="00FE2748"/>
    <w:rsid w:val="00FE3AEA"/>
    <w:rsid w:val="00FF1B15"/>
    <w:rsid w:val="00FF3694"/>
    <w:rsid w:val="15310727"/>
    <w:rsid w:val="257F9274"/>
    <w:rsid w:val="43FECED0"/>
    <w:rsid w:val="733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CDE6A"/>
  <w15:chartTrackingRefBased/>
  <w15:docId w15:val="{BE45911D-8F8E-444E-8222-FF407C6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C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A36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82DAA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EE27C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EE27C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EE2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E27CD"/>
    <w:pPr>
      <w:jc w:val="center"/>
    </w:pPr>
    <w:rPr>
      <w:b/>
      <w:bCs/>
      <w:sz w:val="24"/>
      <w:szCs w:val="24"/>
      <w:lang w:val="x-none"/>
    </w:rPr>
  </w:style>
  <w:style w:type="character" w:customStyle="1" w:styleId="TtuloChar">
    <w:name w:val="Título Char"/>
    <w:link w:val="Ttulo"/>
    <w:rsid w:val="00EE27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DM">
    <w:name w:val="SDM"/>
    <w:basedOn w:val="Normal"/>
    <w:rsid w:val="00EE27CD"/>
    <w:pPr>
      <w:jc w:val="both"/>
    </w:pPr>
    <w:rPr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27C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E2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7C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E2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53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455394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1926"/>
    <w:rPr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1926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01926"/>
    <w:rPr>
      <w:vertAlign w:val="superscript"/>
    </w:rPr>
  </w:style>
  <w:style w:type="character" w:styleId="nfase">
    <w:name w:val="Emphasis"/>
    <w:uiPriority w:val="20"/>
    <w:qFormat/>
    <w:rsid w:val="00C9107C"/>
    <w:rPr>
      <w:i/>
      <w:iCs/>
    </w:rPr>
  </w:style>
  <w:style w:type="character" w:customStyle="1" w:styleId="Ttulo2Char">
    <w:name w:val="Título 2 Char"/>
    <w:link w:val="Ttulo2"/>
    <w:rsid w:val="00982D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1Char">
    <w:name w:val="Título 1 Char"/>
    <w:link w:val="Ttulo1"/>
    <w:uiPriority w:val="9"/>
    <w:rsid w:val="001A36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A3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xtoalinhadoesquerda">
    <w:name w:val="texto_alinhado_esquerda"/>
    <w:basedOn w:val="Normal"/>
    <w:rsid w:val="00C05C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64F4"/>
    <w:rPr>
      <w:rFonts w:ascii="Segoe UI" w:eastAsia="Times New Roman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7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D7071B"/>
    <w:rPr>
      <w:rFonts w:ascii="Courier New" w:eastAsia="Times New Roman" w:hAnsi="Courier New" w:cs="Courier New"/>
    </w:rPr>
  </w:style>
  <w:style w:type="character" w:styleId="Refdecomentrio">
    <w:name w:val="annotation reference"/>
    <w:uiPriority w:val="99"/>
    <w:semiHidden/>
    <w:unhideWhenUsed/>
    <w:rsid w:val="00873C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C7F"/>
  </w:style>
  <w:style w:type="character" w:customStyle="1" w:styleId="TextodecomentrioChar">
    <w:name w:val="Texto de comentário Char"/>
    <w:link w:val="Textodecomentrio"/>
    <w:uiPriority w:val="99"/>
    <w:rsid w:val="00873C7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C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73C7F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E520E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63D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nhideWhenUsed/>
    <w:rsid w:val="002926E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2926EB"/>
    <w:rPr>
      <w:rFonts w:ascii="Times New Roman" w:eastAsia="Times New Roman" w:hAnsi="Times New Roman"/>
      <w:sz w:val="16"/>
      <w:szCs w:val="16"/>
    </w:rPr>
  </w:style>
  <w:style w:type="character" w:customStyle="1" w:styleId="e24kjd">
    <w:name w:val="e24kjd"/>
    <w:basedOn w:val="Fontepargpadro"/>
    <w:rsid w:val="009E352F"/>
  </w:style>
  <w:style w:type="paragraph" w:customStyle="1" w:styleId="TtulodaResoluo">
    <w:name w:val="Título da Resolução"/>
    <w:basedOn w:val="Normal"/>
    <w:next w:val="Normal"/>
    <w:qFormat/>
    <w:rsid w:val="008118EE"/>
    <w:pPr>
      <w:keepNext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sz w:val="24"/>
      <w:szCs w:val="24"/>
      <w:lang w:eastAsia="en-US"/>
    </w:rPr>
  </w:style>
  <w:style w:type="paragraph" w:customStyle="1" w:styleId="Ementa">
    <w:name w:val="Ementa"/>
    <w:basedOn w:val="Normal"/>
    <w:next w:val="Normal"/>
    <w:qFormat/>
    <w:rsid w:val="008118EE"/>
    <w:pPr>
      <w:spacing w:before="120" w:after="120" w:line="312" w:lineRule="auto"/>
      <w:ind w:left="5103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aptulo">
    <w:name w:val="Capítulo"/>
    <w:basedOn w:val="Normal"/>
    <w:next w:val="Normal"/>
    <w:qFormat/>
    <w:rsid w:val="008118EE"/>
    <w:pPr>
      <w:keepNext/>
      <w:spacing w:before="360" w:after="120" w:line="312" w:lineRule="auto"/>
      <w:ind w:firstLine="567"/>
      <w:jc w:val="center"/>
      <w:outlineLvl w:val="1"/>
    </w:pPr>
    <w:rPr>
      <w:rFonts w:ascii="Calibri" w:eastAsia="Calibri" w:hAnsi="Calibri" w:cs="Calibri"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A7A83-0437-4AF1-A966-A0828142A61A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2.xml><?xml version="1.0" encoding="utf-8"?>
<ds:datastoreItem xmlns:ds="http://schemas.openxmlformats.org/officeDocument/2006/customXml" ds:itemID="{83932922-5380-4795-A22A-375BEBB4D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116335-4143-4624-BB3F-EC5395E5D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7D726-ED85-499A-B929-5C658F980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3575</Words>
  <Characters>19305</Characters>
  <Application>Microsoft Office Word</Application>
  <DocSecurity>0</DocSecurity>
  <Lines>160</Lines>
  <Paragraphs>45</Paragraphs>
  <ScaleCrop>false</ScaleCrop>
  <Company>CVM</Company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Maes</dc:creator>
  <cp:keywords/>
  <dc:description/>
  <cp:lastModifiedBy>EXE - Gerência Executiva</cp:lastModifiedBy>
  <cp:revision>2</cp:revision>
  <cp:lastPrinted>2019-10-16T20:53:00Z</cp:lastPrinted>
  <dcterms:created xsi:type="dcterms:W3CDTF">2021-09-01T12:13:00Z</dcterms:created>
  <dcterms:modified xsi:type="dcterms:W3CDTF">2021-09-01T12:13:00Z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ABAAVOAfoSrQoyw/bsxmaqyTKKU1Q2/ba4AymmNB9uKrwKZXuiGmuTyuggQr3E/z3u7H</vt:lpwstr>
  </property>
  <property fmtid="{D5CDD505-2E9C-101B-9397-08002B2CF9AE}" pid="3" name="MAIL_MSG_ID2">
    <vt:lpwstr>y1bSzcEsMYUYlAYaoj5vYDx4E+jFnRa+g8HfwWXFnuYWU3E5B+5O8/Egu3m_x000d_
gNQdM0tEl4P2v5nGP7LZfz548TGCzUwFduMXfA==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ContentTypeId">
    <vt:lpwstr>0x010100D7D80EA79C60684B97B4965E6E8E525D</vt:lpwstr>
  </property>
</Properties>
</file>