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97" w:rsidRPr="00850D5F" w:rsidRDefault="00C36F97" w:rsidP="00C36F97">
      <w:pPr>
        <w:spacing w:before="0" w:after="0"/>
        <w:rPr>
          <w:rFonts w:ascii="Times New Roman" w:hAnsi="Times New Roman"/>
          <w:b/>
          <w:sz w:val="24"/>
          <w:lang w:val="pt-BR"/>
        </w:rPr>
      </w:pPr>
      <w:bookmarkStart w:id="0" w:name="_Ref202082075"/>
      <w:bookmarkEnd w:id="0"/>
    </w:p>
    <w:p w:rsidR="00C36F97" w:rsidRDefault="00C36F97" w:rsidP="00C36F97">
      <w:pPr>
        <w:spacing w:before="0" w:after="0"/>
        <w:jc w:val="center"/>
        <w:outlineLvl w:val="0"/>
        <w:rPr>
          <w:rFonts w:ascii="Times New Roman" w:hAnsi="Times New Roman"/>
          <w:b/>
          <w:sz w:val="24"/>
          <w:lang w:val="pt-BR"/>
        </w:rPr>
      </w:pPr>
    </w:p>
    <w:p w:rsidR="00C36F97" w:rsidRPr="00850D5F" w:rsidRDefault="00C36F97" w:rsidP="00C36F97">
      <w:pPr>
        <w:spacing w:before="0" w:after="0"/>
        <w:jc w:val="center"/>
        <w:outlineLvl w:val="0"/>
        <w:rPr>
          <w:rFonts w:ascii="Times New Roman" w:hAnsi="Times New Roman"/>
          <w:b/>
          <w:sz w:val="24"/>
          <w:lang w:val="pt-BR"/>
        </w:rPr>
      </w:pPr>
    </w:p>
    <w:p w:rsidR="00C36F97" w:rsidRPr="00850D5F" w:rsidRDefault="00C36F97" w:rsidP="00C36F97">
      <w:pPr>
        <w:spacing w:before="0" w:after="0"/>
        <w:jc w:val="center"/>
        <w:outlineLvl w:val="0"/>
        <w:rPr>
          <w:rFonts w:ascii="Times New Roman" w:hAnsi="Times New Roman"/>
          <w:b/>
          <w:sz w:val="24"/>
          <w:lang w:val="pt-BR"/>
        </w:rPr>
      </w:pPr>
    </w:p>
    <w:p w:rsidR="00C36F97" w:rsidRPr="00204608" w:rsidRDefault="00C36F97" w:rsidP="00C36F97">
      <w:pPr>
        <w:spacing w:before="0" w:after="0"/>
        <w:jc w:val="center"/>
        <w:outlineLvl w:val="0"/>
        <w:rPr>
          <w:rFonts w:ascii="Times New Roman" w:hAnsi="Times New Roman"/>
          <w:b/>
          <w:sz w:val="28"/>
          <w:szCs w:val="28"/>
          <w:u w:val="single"/>
          <w:lang w:val="pt-BR"/>
        </w:rPr>
      </w:pPr>
      <w:r w:rsidRPr="00204608">
        <w:rPr>
          <w:rFonts w:ascii="Times New Roman" w:hAnsi="Times New Roman"/>
          <w:b/>
          <w:sz w:val="28"/>
          <w:szCs w:val="28"/>
          <w:u w:val="single"/>
          <w:lang w:val="pt-BR"/>
        </w:rPr>
        <w:t xml:space="preserve">Sumário do Pronunciamento Técnico CPC </w:t>
      </w:r>
      <w:r>
        <w:rPr>
          <w:rFonts w:ascii="Times New Roman" w:hAnsi="Times New Roman"/>
          <w:b/>
          <w:sz w:val="28"/>
          <w:szCs w:val="28"/>
          <w:u w:val="single"/>
          <w:lang w:val="pt-BR"/>
        </w:rPr>
        <w:t>18</w:t>
      </w:r>
      <w:r w:rsidR="006306D5">
        <w:rPr>
          <w:rFonts w:ascii="Times New Roman" w:hAnsi="Times New Roman"/>
          <w:b/>
          <w:sz w:val="28"/>
          <w:szCs w:val="28"/>
          <w:u w:val="single"/>
          <w:lang w:val="pt-BR"/>
        </w:rPr>
        <w:t xml:space="preserve"> (R1)</w:t>
      </w:r>
    </w:p>
    <w:p w:rsidR="00C36F97" w:rsidRDefault="00C36F97" w:rsidP="00C36F97">
      <w:pPr>
        <w:spacing w:before="0" w:after="0"/>
        <w:jc w:val="center"/>
        <w:rPr>
          <w:rFonts w:ascii="Times New Roman" w:hAnsi="Times New Roman"/>
          <w:b/>
          <w:sz w:val="24"/>
          <w:lang w:val="pt-BR"/>
        </w:rPr>
      </w:pPr>
    </w:p>
    <w:p w:rsidR="00C36F97" w:rsidRPr="00204608" w:rsidRDefault="00C36F97" w:rsidP="00C36F97">
      <w:pPr>
        <w:spacing w:before="0" w:after="0"/>
        <w:jc w:val="center"/>
        <w:rPr>
          <w:rFonts w:ascii="Times New Roman" w:hAnsi="Times New Roman"/>
          <w:b/>
          <w:sz w:val="28"/>
          <w:szCs w:val="28"/>
          <w:u w:val="single"/>
          <w:lang w:val="pt-BR"/>
        </w:rPr>
      </w:pPr>
      <w:r w:rsidRPr="001A4043">
        <w:rPr>
          <w:rFonts w:ascii="Times New Roman" w:hAnsi="Times New Roman"/>
          <w:b/>
          <w:sz w:val="28"/>
          <w:szCs w:val="28"/>
          <w:u w:val="single"/>
          <w:lang w:val="pt-BR"/>
        </w:rPr>
        <w:t>Investimento em Coligada</w:t>
      </w:r>
      <w:r w:rsidR="00AB34EB">
        <w:rPr>
          <w:rFonts w:ascii="Times New Roman" w:hAnsi="Times New Roman"/>
          <w:b/>
          <w:sz w:val="28"/>
          <w:szCs w:val="28"/>
          <w:u w:val="single"/>
          <w:lang w:val="pt-BR"/>
        </w:rPr>
        <w:t xml:space="preserve"> e em Controlada</w:t>
      </w:r>
    </w:p>
    <w:p w:rsidR="00C36F97" w:rsidRDefault="00C36F97" w:rsidP="00C36F97">
      <w:pPr>
        <w:spacing w:before="0" w:after="0"/>
        <w:jc w:val="center"/>
        <w:rPr>
          <w:rFonts w:ascii="Times New Roman" w:hAnsi="Times New Roman"/>
          <w:b/>
          <w:sz w:val="24"/>
          <w:lang w:val="pt-BR"/>
        </w:rPr>
      </w:pPr>
    </w:p>
    <w:p w:rsidR="00C36F97" w:rsidRPr="00850D5F" w:rsidRDefault="00C36F97" w:rsidP="00C36F97">
      <w:pPr>
        <w:spacing w:before="0" w:after="0"/>
        <w:jc w:val="center"/>
        <w:rPr>
          <w:rFonts w:ascii="Times New Roman" w:hAnsi="Times New Roman"/>
          <w:b/>
          <w:sz w:val="24"/>
          <w:lang w:val="pt-BR"/>
        </w:rPr>
      </w:pPr>
    </w:p>
    <w:p w:rsidR="00C36F97" w:rsidRPr="00850D5F" w:rsidRDefault="00C36F97" w:rsidP="00C36F97">
      <w:pPr>
        <w:spacing w:before="0" w:after="0"/>
        <w:jc w:val="center"/>
        <w:rPr>
          <w:rFonts w:ascii="Times New Roman" w:hAnsi="Times New Roman"/>
          <w:b/>
          <w:sz w:val="24"/>
          <w:lang w:val="pt-BR"/>
        </w:rPr>
      </w:pPr>
    </w:p>
    <w:p w:rsidR="00C36F97" w:rsidRDefault="00C36F97" w:rsidP="00C36F97">
      <w:pPr>
        <w:pBdr>
          <w:top w:val="single" w:sz="4" w:space="1" w:color="auto"/>
          <w:left w:val="single" w:sz="4" w:space="4" w:color="auto"/>
          <w:bottom w:val="single" w:sz="4" w:space="1" w:color="auto"/>
          <w:right w:val="single" w:sz="4" w:space="4" w:color="auto"/>
        </w:pBdr>
        <w:spacing w:before="0" w:after="0"/>
        <w:rPr>
          <w:rFonts w:ascii="Times New Roman" w:hAnsi="Times New Roman"/>
          <w:sz w:val="24"/>
          <w:lang w:val="pt-BR" w:eastAsia="en-US"/>
        </w:rPr>
      </w:pPr>
      <w:r>
        <w:rPr>
          <w:rFonts w:ascii="Times New Roman" w:hAnsi="Times New Roman"/>
          <w:sz w:val="24"/>
          <w:lang w:val="pt-BR" w:eastAsia="en-US"/>
        </w:rPr>
        <w:t xml:space="preserve">Este </w:t>
      </w:r>
      <w:r w:rsidR="00811144">
        <w:rPr>
          <w:rFonts w:ascii="Times New Roman" w:hAnsi="Times New Roman"/>
          <w:sz w:val="24"/>
          <w:lang w:val="pt-BR" w:eastAsia="en-US"/>
        </w:rPr>
        <w:t>Sumário</w:t>
      </w:r>
      <w:r>
        <w:rPr>
          <w:rFonts w:ascii="Times New Roman" w:hAnsi="Times New Roman"/>
          <w:sz w:val="24"/>
          <w:lang w:val="pt-BR" w:eastAsia="en-US"/>
        </w:rPr>
        <w:t xml:space="preserve">, que não faz parte do Pronunciamento, está sendo apresentado apenas para </w:t>
      </w:r>
      <w:r w:rsidR="00811144">
        <w:rPr>
          <w:rFonts w:ascii="Times New Roman" w:hAnsi="Times New Roman"/>
          <w:sz w:val="24"/>
          <w:lang w:val="pt-BR" w:eastAsia="en-US"/>
        </w:rPr>
        <w:t xml:space="preserve">a </w:t>
      </w:r>
      <w:r>
        <w:rPr>
          <w:rFonts w:ascii="Times New Roman" w:hAnsi="Times New Roman"/>
          <w:sz w:val="24"/>
          <w:lang w:val="pt-BR" w:eastAsia="en-US"/>
        </w:rPr>
        <w:t>identificação dos principais pontos tratados, possibilitando uma visão geral do assunto.</w:t>
      </w:r>
    </w:p>
    <w:p w:rsidR="00C36F97" w:rsidRDefault="00C36F97" w:rsidP="00C36F97">
      <w:pPr>
        <w:spacing w:before="0" w:after="0"/>
        <w:rPr>
          <w:rFonts w:ascii="Times New Roman" w:hAnsi="Times New Roman"/>
          <w:sz w:val="24"/>
          <w:lang w:val="pt-BR" w:eastAsia="en-US"/>
        </w:rPr>
      </w:pPr>
    </w:p>
    <w:p w:rsidR="00C36F97" w:rsidRPr="00850D5F" w:rsidRDefault="00C36F97" w:rsidP="00C36F97">
      <w:pPr>
        <w:spacing w:before="0" w:after="0"/>
        <w:rPr>
          <w:rFonts w:ascii="Times New Roman" w:hAnsi="Times New Roman"/>
          <w:sz w:val="24"/>
          <w:lang w:val="pt-BR" w:eastAsia="en-US"/>
        </w:rPr>
      </w:pPr>
    </w:p>
    <w:p w:rsidR="00C36F97" w:rsidRDefault="00C36F97" w:rsidP="00C36F97">
      <w:pPr>
        <w:spacing w:before="0" w:after="0"/>
        <w:rPr>
          <w:rFonts w:ascii="Times New Roman" w:hAnsi="Times New Roman"/>
          <w:sz w:val="24"/>
          <w:lang w:val="pt-BR" w:eastAsia="en-US"/>
        </w:rPr>
      </w:pPr>
    </w:p>
    <w:p w:rsidR="00C36F97" w:rsidRPr="00204608" w:rsidRDefault="00C36F97" w:rsidP="00C36F97">
      <w:pPr>
        <w:spacing w:before="0" w:after="0"/>
        <w:jc w:val="center"/>
        <w:rPr>
          <w:rFonts w:ascii="Times New Roman" w:hAnsi="Times New Roman"/>
          <w:b/>
          <w:sz w:val="28"/>
          <w:szCs w:val="28"/>
          <w:lang w:val="pt-BR" w:eastAsia="en-US"/>
        </w:rPr>
      </w:pPr>
      <w:r w:rsidRPr="00204608">
        <w:rPr>
          <w:rFonts w:ascii="Times New Roman" w:hAnsi="Times New Roman"/>
          <w:b/>
          <w:sz w:val="28"/>
          <w:szCs w:val="28"/>
          <w:lang w:val="pt-BR" w:eastAsia="en-US"/>
        </w:rPr>
        <w:t>SUMÁRIO</w:t>
      </w:r>
    </w:p>
    <w:p w:rsidR="00C36F97" w:rsidRPr="00850D5F" w:rsidRDefault="00C36F97" w:rsidP="00C36F97">
      <w:pPr>
        <w:pStyle w:val="Textoembloco"/>
        <w:spacing w:before="0" w:after="0"/>
        <w:ind w:left="0" w:firstLine="0"/>
        <w:jc w:val="both"/>
        <w:rPr>
          <w:rFonts w:ascii="Times New Roman" w:hAnsi="Times New Roman"/>
          <w:b/>
          <w:sz w:val="28"/>
          <w:szCs w:val="28"/>
          <w:lang w:val="pt-BR"/>
        </w:rPr>
      </w:pPr>
    </w:p>
    <w:p w:rsidR="00C36F97" w:rsidRPr="00850D5F" w:rsidRDefault="00C36F97" w:rsidP="00C36F97">
      <w:pPr>
        <w:pStyle w:val="Textoembloco"/>
        <w:spacing w:before="0" w:after="0" w:line="240" w:lineRule="auto"/>
        <w:ind w:left="57" w:firstLine="0"/>
        <w:jc w:val="both"/>
        <w:rPr>
          <w:rFonts w:ascii="Times New Roman" w:hAnsi="Times New Roman"/>
          <w:b/>
          <w:sz w:val="28"/>
          <w:szCs w:val="28"/>
          <w:lang w:val="pt-BR"/>
        </w:rPr>
      </w:pPr>
      <w:r>
        <w:rPr>
          <w:rFonts w:ascii="Times New Roman" w:hAnsi="Times New Roman"/>
          <w:b/>
          <w:sz w:val="28"/>
          <w:szCs w:val="28"/>
          <w:lang w:val="pt-BR"/>
        </w:rPr>
        <w:t>Objetivo do Pronunciamento</w:t>
      </w:r>
    </w:p>
    <w:p w:rsidR="00C36F97" w:rsidRPr="00850D5F" w:rsidRDefault="00C36F97" w:rsidP="00C36F97">
      <w:pPr>
        <w:pStyle w:val="Textoembloco"/>
        <w:spacing w:before="0" w:after="0" w:line="240" w:lineRule="auto"/>
        <w:ind w:left="0" w:firstLine="0"/>
        <w:jc w:val="both"/>
        <w:rPr>
          <w:rFonts w:ascii="Times New Roman" w:hAnsi="Times New Roman" w:cs="Times New Roman"/>
          <w:color w:val="000000"/>
          <w:sz w:val="24"/>
          <w:lang w:val="pt-BR"/>
        </w:rPr>
      </w:pPr>
    </w:p>
    <w:p w:rsidR="00C36F97" w:rsidRDefault="00C36F97" w:rsidP="00AB34EB">
      <w:pPr>
        <w:pStyle w:val="Textoembloco"/>
        <w:numPr>
          <w:ilvl w:val="0"/>
          <w:numId w:val="1"/>
        </w:numPr>
        <w:spacing w:before="0" w:after="0"/>
        <w:jc w:val="both"/>
        <w:rPr>
          <w:rFonts w:ascii="Times New Roman" w:hAnsi="Times New Roman" w:cs="Times New Roman"/>
          <w:color w:val="000000"/>
          <w:sz w:val="24"/>
          <w:lang w:val="pt-BR"/>
        </w:rPr>
      </w:pPr>
      <w:r w:rsidRPr="00AB34EB">
        <w:rPr>
          <w:rFonts w:ascii="Times New Roman" w:hAnsi="Times New Roman" w:cs="Times New Roman"/>
          <w:color w:val="000000"/>
          <w:sz w:val="24"/>
          <w:lang w:val="pt-BR"/>
        </w:rPr>
        <w:t>O objetivo do Pronunciamento é especificar como devem ser contabilizados os investimentos em coligadas nas demonstrações contábeis</w:t>
      </w:r>
      <w:r w:rsidR="00AB34EB" w:rsidRPr="00AB34EB">
        <w:rPr>
          <w:rFonts w:ascii="Times New Roman" w:hAnsi="Times New Roman" w:cs="Times New Roman"/>
          <w:color w:val="000000"/>
          <w:sz w:val="24"/>
          <w:lang w:val="pt-BR"/>
        </w:rPr>
        <w:t xml:space="preserve"> individuais e consolidadas</w:t>
      </w:r>
      <w:r w:rsidRPr="00AB34EB">
        <w:rPr>
          <w:rFonts w:ascii="Times New Roman" w:hAnsi="Times New Roman" w:cs="Times New Roman"/>
          <w:color w:val="000000"/>
          <w:sz w:val="24"/>
          <w:lang w:val="pt-BR"/>
        </w:rPr>
        <w:t xml:space="preserve"> do investidor</w:t>
      </w:r>
      <w:r w:rsidR="00AB34EB" w:rsidRPr="00AB34EB">
        <w:rPr>
          <w:rFonts w:ascii="Times New Roman" w:hAnsi="Times New Roman" w:cs="Times New Roman"/>
          <w:color w:val="000000"/>
          <w:sz w:val="24"/>
          <w:lang w:val="pt-BR"/>
        </w:rPr>
        <w:t xml:space="preserve"> e em controladas nas demonstrações contábeis da controladora</w:t>
      </w:r>
      <w:r w:rsidRPr="00AB34EB">
        <w:rPr>
          <w:rFonts w:ascii="Times New Roman" w:hAnsi="Times New Roman" w:cs="Times New Roman"/>
          <w:color w:val="000000"/>
          <w:sz w:val="24"/>
          <w:lang w:val="pt-BR"/>
        </w:rPr>
        <w:t xml:space="preserve">. </w:t>
      </w:r>
      <w:r w:rsidR="00AB34EB" w:rsidRPr="00AB34EB">
        <w:rPr>
          <w:rFonts w:ascii="Times New Roman" w:hAnsi="Times New Roman" w:cs="Times New Roman"/>
          <w:color w:val="000000"/>
          <w:sz w:val="24"/>
          <w:lang w:val="pt-BR"/>
        </w:rPr>
        <w:t>Ele</w:t>
      </w:r>
      <w:r w:rsidRPr="00AB34EB">
        <w:rPr>
          <w:rFonts w:ascii="Times New Roman" w:hAnsi="Times New Roman" w:cs="Times New Roman"/>
          <w:color w:val="000000"/>
          <w:sz w:val="24"/>
          <w:lang w:val="pt-BR"/>
        </w:rPr>
        <w:t xml:space="preserve"> não se aplica aos investimentos em coligadas </w:t>
      </w:r>
      <w:r w:rsidR="00AB34EB" w:rsidRPr="00AB34EB">
        <w:rPr>
          <w:rFonts w:ascii="Times New Roman" w:hAnsi="Times New Roman" w:cs="Times New Roman"/>
          <w:color w:val="000000"/>
          <w:sz w:val="24"/>
          <w:lang w:val="pt-BR"/>
        </w:rPr>
        <w:t xml:space="preserve">e controladas </w:t>
      </w:r>
      <w:r w:rsidRPr="00AB34EB">
        <w:rPr>
          <w:rFonts w:ascii="Times New Roman" w:hAnsi="Times New Roman" w:cs="Times New Roman"/>
          <w:color w:val="000000"/>
          <w:sz w:val="24"/>
          <w:lang w:val="pt-BR"/>
        </w:rPr>
        <w:t>que forem mantidos por</w:t>
      </w:r>
      <w:r w:rsidR="00AB34EB" w:rsidRPr="00AB34EB">
        <w:rPr>
          <w:rFonts w:ascii="Times New Roman" w:hAnsi="Times New Roman" w:cs="Times New Roman"/>
          <w:color w:val="000000"/>
          <w:sz w:val="24"/>
          <w:lang w:val="pt-BR"/>
        </w:rPr>
        <w:t xml:space="preserve"> </w:t>
      </w:r>
      <w:r w:rsidRPr="00AB34EB">
        <w:rPr>
          <w:rFonts w:ascii="Times New Roman" w:hAnsi="Times New Roman" w:cs="Times New Roman"/>
          <w:color w:val="000000"/>
          <w:sz w:val="24"/>
          <w:lang w:val="pt-BR"/>
        </w:rPr>
        <w:t xml:space="preserve">organizações de capital de risco, fundos mútuos, </w:t>
      </w:r>
      <w:r w:rsidR="00AB34EB" w:rsidRPr="00AB34EB">
        <w:rPr>
          <w:rFonts w:ascii="Times New Roman" w:hAnsi="Times New Roman" w:cs="Times New Roman"/>
          <w:color w:val="000000"/>
          <w:sz w:val="24"/>
          <w:lang w:val="pt-BR"/>
        </w:rPr>
        <w:t>trustes</w:t>
      </w:r>
      <w:r w:rsidRPr="00AB34EB">
        <w:rPr>
          <w:rFonts w:ascii="Times New Roman" w:hAnsi="Times New Roman" w:cs="Times New Roman"/>
          <w:color w:val="000000"/>
          <w:sz w:val="24"/>
          <w:lang w:val="pt-BR"/>
        </w:rPr>
        <w:t xml:space="preserve"> e entidades similares</w:t>
      </w:r>
      <w:r w:rsidR="00811144">
        <w:rPr>
          <w:rFonts w:ascii="Times New Roman" w:hAnsi="Times New Roman" w:cs="Times New Roman"/>
          <w:color w:val="000000"/>
          <w:sz w:val="24"/>
          <w:lang w:val="pt-BR"/>
        </w:rPr>
        <w:t>;</w:t>
      </w:r>
      <w:r w:rsidRPr="00AB34EB">
        <w:rPr>
          <w:rFonts w:ascii="Times New Roman" w:hAnsi="Times New Roman" w:cs="Times New Roman"/>
          <w:color w:val="000000"/>
          <w:sz w:val="24"/>
          <w:lang w:val="pt-BR"/>
        </w:rPr>
        <w:t xml:space="preserve"> </w:t>
      </w:r>
      <w:r w:rsidR="00AB34EB">
        <w:rPr>
          <w:rFonts w:ascii="Times New Roman" w:hAnsi="Times New Roman" w:cs="Times New Roman"/>
          <w:color w:val="000000"/>
          <w:sz w:val="24"/>
          <w:lang w:val="pt-BR"/>
        </w:rPr>
        <w:t>também não se aplica aos investimentos</w:t>
      </w:r>
      <w:r w:rsidRPr="00AB34EB">
        <w:rPr>
          <w:rFonts w:ascii="Times New Roman" w:hAnsi="Times New Roman" w:cs="Times New Roman"/>
          <w:color w:val="000000"/>
          <w:sz w:val="24"/>
          <w:lang w:val="pt-BR"/>
        </w:rPr>
        <w:t xml:space="preserve"> classificados como instrumentos financeiros mantidos para negociação</w:t>
      </w:r>
      <w:r w:rsidR="00811144">
        <w:rPr>
          <w:rFonts w:ascii="Times New Roman" w:hAnsi="Times New Roman" w:cs="Times New Roman"/>
          <w:color w:val="000000"/>
          <w:sz w:val="24"/>
          <w:lang w:val="pt-BR"/>
        </w:rPr>
        <w:t>,</w:t>
      </w:r>
      <w:r w:rsidRPr="00AB34EB">
        <w:rPr>
          <w:rFonts w:ascii="Times New Roman" w:hAnsi="Times New Roman" w:cs="Times New Roman"/>
          <w:color w:val="000000"/>
          <w:sz w:val="24"/>
          <w:lang w:val="pt-BR"/>
        </w:rPr>
        <w:t xml:space="preserve"> de acordo com os requisitos do Pronunciamento Técnico CPC 38 - Instrumentos Financeiros: Reconhecimento e Mensuração. Es</w:t>
      </w:r>
      <w:r w:rsidR="00AB34EB">
        <w:rPr>
          <w:rFonts w:ascii="Times New Roman" w:hAnsi="Times New Roman" w:cs="Times New Roman"/>
          <w:color w:val="000000"/>
          <w:sz w:val="24"/>
          <w:lang w:val="pt-BR"/>
        </w:rPr>
        <w:t>t</w:t>
      </w:r>
      <w:r w:rsidRPr="00AB34EB">
        <w:rPr>
          <w:rFonts w:ascii="Times New Roman" w:hAnsi="Times New Roman" w:cs="Times New Roman"/>
          <w:color w:val="000000"/>
          <w:sz w:val="24"/>
          <w:lang w:val="pt-BR"/>
        </w:rPr>
        <w:t xml:space="preserve">es </w:t>
      </w:r>
      <w:r w:rsidR="00AB34EB">
        <w:rPr>
          <w:rFonts w:ascii="Times New Roman" w:hAnsi="Times New Roman" w:cs="Times New Roman"/>
          <w:color w:val="000000"/>
          <w:sz w:val="24"/>
          <w:lang w:val="pt-BR"/>
        </w:rPr>
        <w:t>últimos</w:t>
      </w:r>
      <w:r w:rsidRPr="00AB34EB">
        <w:rPr>
          <w:rFonts w:ascii="Times New Roman" w:hAnsi="Times New Roman" w:cs="Times New Roman"/>
          <w:color w:val="000000"/>
          <w:sz w:val="24"/>
          <w:lang w:val="pt-BR"/>
        </w:rPr>
        <w:t xml:space="preserve"> são mensurados ao valor justo com as </w:t>
      </w:r>
      <w:r w:rsidR="00AB34EB">
        <w:rPr>
          <w:rFonts w:ascii="Times New Roman" w:hAnsi="Times New Roman" w:cs="Times New Roman"/>
          <w:color w:val="000000"/>
          <w:sz w:val="24"/>
          <w:lang w:val="pt-BR"/>
        </w:rPr>
        <w:t>alterações</w:t>
      </w:r>
      <w:r w:rsidRPr="00AB34EB">
        <w:rPr>
          <w:rFonts w:ascii="Times New Roman" w:hAnsi="Times New Roman" w:cs="Times New Roman"/>
          <w:color w:val="000000"/>
          <w:sz w:val="24"/>
          <w:lang w:val="pt-BR"/>
        </w:rPr>
        <w:t xml:space="preserve"> de valor justo reconhecidas no resultado do período em que ocorrerem.</w:t>
      </w:r>
    </w:p>
    <w:p w:rsidR="00AB34EB" w:rsidRDefault="00AB34EB" w:rsidP="00AB34EB">
      <w:pPr>
        <w:pStyle w:val="Textoembloco"/>
        <w:spacing w:before="0" w:after="0"/>
        <w:ind w:left="567" w:firstLine="0"/>
        <w:jc w:val="both"/>
        <w:rPr>
          <w:rFonts w:ascii="Times New Roman" w:hAnsi="Times New Roman" w:cs="Times New Roman"/>
          <w:color w:val="000000"/>
          <w:sz w:val="24"/>
          <w:lang w:val="pt-BR"/>
        </w:rPr>
      </w:pPr>
    </w:p>
    <w:p w:rsidR="001A017E" w:rsidRDefault="00AB34EB" w:rsidP="001A017E">
      <w:pPr>
        <w:pStyle w:val="Textoembloco"/>
        <w:numPr>
          <w:ilvl w:val="0"/>
          <w:numId w:val="1"/>
        </w:numPr>
        <w:spacing w:before="0" w:after="0"/>
        <w:jc w:val="both"/>
        <w:rPr>
          <w:rFonts w:ascii="Times New Roman" w:hAnsi="Times New Roman" w:cs="Times New Roman"/>
          <w:color w:val="000000"/>
          <w:sz w:val="24"/>
          <w:lang w:val="pt-BR"/>
        </w:rPr>
      </w:pPr>
      <w:r>
        <w:rPr>
          <w:rFonts w:ascii="Times New Roman" w:hAnsi="Times New Roman" w:cs="Times New Roman"/>
          <w:color w:val="000000"/>
          <w:sz w:val="24"/>
          <w:lang w:val="pt-BR"/>
        </w:rPr>
        <w:t>Coligada é a entidade sobre a qual a investidora mantém influência significativa, sem chegar a controlá-la. Influência significativa significa existência d</w:t>
      </w:r>
      <w:r w:rsidR="00811144">
        <w:rPr>
          <w:rFonts w:ascii="Times New Roman" w:hAnsi="Times New Roman" w:cs="Times New Roman"/>
          <w:color w:val="000000"/>
          <w:sz w:val="24"/>
          <w:lang w:val="pt-BR"/>
        </w:rPr>
        <w:t>o</w:t>
      </w:r>
      <w:r>
        <w:rPr>
          <w:rFonts w:ascii="Times New Roman" w:hAnsi="Times New Roman" w:cs="Times New Roman"/>
          <w:color w:val="000000"/>
          <w:sz w:val="24"/>
          <w:lang w:val="pt-BR"/>
        </w:rPr>
        <w:t xml:space="preserve"> poder de participar nas decisões financeiras e operacionais da investida.</w:t>
      </w:r>
      <w:r w:rsidR="001A017E">
        <w:rPr>
          <w:rFonts w:ascii="Times New Roman" w:hAnsi="Times New Roman" w:cs="Times New Roman"/>
          <w:color w:val="000000"/>
          <w:sz w:val="24"/>
          <w:lang w:val="pt-BR"/>
        </w:rPr>
        <w:t xml:space="preserve"> É presumido que exista influência significativa quando a entidade possui 20%</w:t>
      </w:r>
      <w:r w:rsidR="00811144">
        <w:rPr>
          <w:rFonts w:ascii="Times New Roman" w:hAnsi="Times New Roman" w:cs="Times New Roman"/>
          <w:color w:val="000000"/>
          <w:sz w:val="24"/>
          <w:lang w:val="pt-BR"/>
        </w:rPr>
        <w:t>,</w:t>
      </w:r>
      <w:r w:rsidR="001A017E">
        <w:rPr>
          <w:rFonts w:ascii="Times New Roman" w:hAnsi="Times New Roman" w:cs="Times New Roman"/>
          <w:color w:val="000000"/>
          <w:sz w:val="24"/>
          <w:lang w:val="pt-BR"/>
        </w:rPr>
        <w:t xml:space="preserve"> ou mais</w:t>
      </w:r>
      <w:r w:rsidR="00811144">
        <w:rPr>
          <w:rFonts w:ascii="Times New Roman" w:hAnsi="Times New Roman" w:cs="Times New Roman"/>
          <w:color w:val="000000"/>
          <w:sz w:val="24"/>
          <w:lang w:val="pt-BR"/>
        </w:rPr>
        <w:t>,</w:t>
      </w:r>
      <w:r w:rsidR="001A017E">
        <w:rPr>
          <w:rFonts w:ascii="Times New Roman" w:hAnsi="Times New Roman" w:cs="Times New Roman"/>
          <w:color w:val="000000"/>
          <w:sz w:val="24"/>
          <w:lang w:val="pt-BR"/>
        </w:rPr>
        <w:t xml:space="preserve"> das ações ou </w:t>
      </w:r>
      <w:r w:rsidR="00811144">
        <w:rPr>
          <w:rFonts w:ascii="Times New Roman" w:hAnsi="Times New Roman" w:cs="Times New Roman"/>
          <w:color w:val="000000"/>
          <w:sz w:val="24"/>
          <w:lang w:val="pt-BR"/>
        </w:rPr>
        <w:t xml:space="preserve">das </w:t>
      </w:r>
      <w:r w:rsidR="001A017E">
        <w:rPr>
          <w:rFonts w:ascii="Times New Roman" w:hAnsi="Times New Roman" w:cs="Times New Roman"/>
          <w:color w:val="000000"/>
          <w:sz w:val="24"/>
          <w:lang w:val="pt-BR"/>
        </w:rPr>
        <w:t>quotas com direito a voto da investida</w:t>
      </w:r>
      <w:r w:rsidR="00C07767">
        <w:rPr>
          <w:rFonts w:ascii="Times New Roman" w:hAnsi="Times New Roman" w:cs="Times New Roman"/>
          <w:color w:val="000000"/>
          <w:sz w:val="24"/>
          <w:lang w:val="pt-BR"/>
        </w:rPr>
        <w:t>.</w:t>
      </w:r>
    </w:p>
    <w:p w:rsidR="00AB34EB" w:rsidRPr="001A017E" w:rsidRDefault="00AB34EB" w:rsidP="001A017E">
      <w:pPr>
        <w:pStyle w:val="Textoembloco"/>
        <w:spacing w:before="0" w:after="0"/>
        <w:ind w:left="567" w:firstLine="0"/>
        <w:jc w:val="both"/>
        <w:rPr>
          <w:rFonts w:ascii="Times New Roman" w:hAnsi="Times New Roman" w:cs="Times New Roman"/>
          <w:color w:val="000000"/>
          <w:sz w:val="24"/>
          <w:lang w:val="pt-BR"/>
        </w:rPr>
      </w:pPr>
    </w:p>
    <w:p w:rsidR="00AB34EB" w:rsidRDefault="00AB34EB" w:rsidP="00AB34EB">
      <w:pPr>
        <w:pStyle w:val="Textoembloco"/>
        <w:numPr>
          <w:ilvl w:val="0"/>
          <w:numId w:val="1"/>
        </w:numPr>
        <w:spacing w:before="0" w:after="0"/>
        <w:jc w:val="both"/>
        <w:rPr>
          <w:rFonts w:ascii="Times New Roman" w:hAnsi="Times New Roman" w:cs="Times New Roman"/>
          <w:color w:val="000000"/>
          <w:sz w:val="24"/>
          <w:lang w:val="pt-BR"/>
        </w:rPr>
      </w:pPr>
      <w:r>
        <w:rPr>
          <w:rFonts w:ascii="Times New Roman" w:hAnsi="Times New Roman" w:cs="Times New Roman"/>
          <w:color w:val="000000"/>
          <w:sz w:val="24"/>
          <w:lang w:val="pt-BR"/>
        </w:rPr>
        <w:t>Controlada é a entidade na qual a controladora, diretamente ou por meio de outra controlada, tem poder para assegurar, de forma permanente, preponderância em suas deliberações sociais e de eleger a maioria de seus administradores.</w:t>
      </w:r>
    </w:p>
    <w:p w:rsidR="00AB34EB" w:rsidRDefault="00AB34EB" w:rsidP="001A017E">
      <w:pPr>
        <w:pStyle w:val="Textoembloco"/>
        <w:spacing w:before="0" w:after="0"/>
        <w:ind w:left="567" w:firstLine="0"/>
        <w:jc w:val="both"/>
        <w:rPr>
          <w:rFonts w:ascii="Times New Roman" w:hAnsi="Times New Roman" w:cs="Times New Roman"/>
          <w:color w:val="000000"/>
          <w:sz w:val="24"/>
          <w:lang w:val="pt-BR"/>
        </w:rPr>
      </w:pPr>
    </w:p>
    <w:p w:rsidR="00AB34EB" w:rsidRPr="00AB34EB" w:rsidRDefault="00AB34EB" w:rsidP="00AB34EB">
      <w:pPr>
        <w:pStyle w:val="Textoembloco"/>
        <w:numPr>
          <w:ilvl w:val="0"/>
          <w:numId w:val="1"/>
        </w:numPr>
        <w:spacing w:before="0" w:after="0"/>
        <w:jc w:val="both"/>
        <w:rPr>
          <w:rFonts w:ascii="Times New Roman" w:hAnsi="Times New Roman" w:cs="Times New Roman"/>
          <w:color w:val="000000"/>
          <w:sz w:val="24"/>
          <w:lang w:val="pt-BR"/>
        </w:rPr>
      </w:pPr>
      <w:r>
        <w:rPr>
          <w:rFonts w:ascii="Times New Roman" w:hAnsi="Times New Roman" w:cs="Times New Roman"/>
          <w:color w:val="000000"/>
          <w:sz w:val="24"/>
          <w:lang w:val="pt-BR"/>
        </w:rPr>
        <w:t>O investimento em controlada obriga à elaboração da demonstração consolidada, com as exceções previstas no Pronunciamento Técnico CPC 36 – Demonstrações Consolidadas.</w:t>
      </w:r>
    </w:p>
    <w:p w:rsidR="00C36F97" w:rsidRDefault="00C36F97" w:rsidP="00C36F97">
      <w:pPr>
        <w:pStyle w:val="Textoembloco"/>
        <w:spacing w:before="0" w:after="0" w:line="240" w:lineRule="auto"/>
        <w:ind w:left="57" w:firstLine="0"/>
        <w:jc w:val="both"/>
        <w:rPr>
          <w:rFonts w:ascii="Times New Roman" w:hAnsi="Times New Roman"/>
          <w:b/>
          <w:sz w:val="28"/>
          <w:szCs w:val="28"/>
          <w:lang w:val="pt-BR"/>
        </w:rPr>
      </w:pPr>
    </w:p>
    <w:p w:rsidR="00C36F97" w:rsidRPr="00850D5F" w:rsidRDefault="00C36F97" w:rsidP="00C36F97">
      <w:pPr>
        <w:pStyle w:val="Textoembloco"/>
        <w:keepNext/>
        <w:spacing w:before="0" w:after="0" w:line="240" w:lineRule="auto"/>
        <w:ind w:left="57" w:firstLine="0"/>
        <w:jc w:val="both"/>
        <w:rPr>
          <w:rFonts w:ascii="Times New Roman" w:hAnsi="Times New Roman"/>
          <w:b/>
          <w:sz w:val="28"/>
          <w:szCs w:val="28"/>
          <w:lang w:val="pt-BR"/>
        </w:rPr>
      </w:pPr>
      <w:r>
        <w:rPr>
          <w:rFonts w:ascii="Times New Roman" w:hAnsi="Times New Roman"/>
          <w:b/>
          <w:sz w:val="28"/>
          <w:szCs w:val="28"/>
          <w:lang w:val="pt-BR"/>
        </w:rPr>
        <w:t>Principais Características do Pronunciamento</w:t>
      </w:r>
    </w:p>
    <w:p w:rsidR="00C36F97" w:rsidRPr="00850D5F" w:rsidRDefault="00C36F97" w:rsidP="00C36F97">
      <w:pPr>
        <w:pStyle w:val="Textoembloco"/>
        <w:spacing w:before="0" w:after="0" w:line="240" w:lineRule="auto"/>
        <w:ind w:left="0" w:firstLine="0"/>
        <w:jc w:val="both"/>
        <w:rPr>
          <w:rFonts w:ascii="Times New Roman" w:hAnsi="Times New Roman" w:cs="Times New Roman"/>
          <w:color w:val="000000"/>
          <w:sz w:val="24"/>
          <w:lang w:val="pt-BR"/>
        </w:rPr>
      </w:pPr>
    </w:p>
    <w:p w:rsidR="00C36F97" w:rsidRPr="001A017E" w:rsidRDefault="00C36F97" w:rsidP="001A017E">
      <w:pPr>
        <w:pStyle w:val="Textoembloco"/>
        <w:numPr>
          <w:ilvl w:val="0"/>
          <w:numId w:val="1"/>
        </w:numPr>
        <w:spacing w:before="0" w:after="0"/>
        <w:jc w:val="both"/>
        <w:rPr>
          <w:rFonts w:ascii="Times New Roman" w:hAnsi="Times New Roman" w:cs="Times New Roman"/>
          <w:color w:val="000000"/>
          <w:sz w:val="24"/>
          <w:lang w:val="pt-BR"/>
        </w:rPr>
      </w:pPr>
      <w:r w:rsidRPr="001A017E">
        <w:rPr>
          <w:rFonts w:ascii="Times New Roman" w:hAnsi="Times New Roman" w:cs="Times New Roman"/>
          <w:color w:val="000000"/>
          <w:sz w:val="24"/>
          <w:lang w:val="pt-BR"/>
        </w:rPr>
        <w:t xml:space="preserve">O investimento em coligada </w:t>
      </w:r>
      <w:r w:rsidR="00AB34EB" w:rsidRPr="001A017E">
        <w:rPr>
          <w:rFonts w:ascii="Times New Roman" w:hAnsi="Times New Roman" w:cs="Times New Roman"/>
          <w:color w:val="000000"/>
          <w:sz w:val="24"/>
          <w:lang w:val="pt-BR"/>
        </w:rPr>
        <w:t xml:space="preserve">e em </w:t>
      </w:r>
      <w:r w:rsidR="001A017E" w:rsidRPr="001A017E">
        <w:rPr>
          <w:rFonts w:ascii="Times New Roman" w:hAnsi="Times New Roman" w:cs="Times New Roman"/>
          <w:color w:val="000000"/>
          <w:sz w:val="24"/>
          <w:lang w:val="pt-BR"/>
        </w:rPr>
        <w:t>controlada (neste caso</w:t>
      </w:r>
      <w:r w:rsidR="00811144">
        <w:rPr>
          <w:rFonts w:ascii="Times New Roman" w:hAnsi="Times New Roman" w:cs="Times New Roman"/>
          <w:color w:val="000000"/>
          <w:sz w:val="24"/>
          <w:lang w:val="pt-BR"/>
        </w:rPr>
        <w:t>,</w:t>
      </w:r>
      <w:r w:rsidR="001A017E" w:rsidRPr="001A017E">
        <w:rPr>
          <w:rFonts w:ascii="Times New Roman" w:hAnsi="Times New Roman" w:cs="Times New Roman"/>
          <w:color w:val="000000"/>
          <w:sz w:val="24"/>
          <w:lang w:val="pt-BR"/>
        </w:rPr>
        <w:t xml:space="preserve"> nas demonstrações individuais)</w:t>
      </w:r>
      <w:r w:rsidR="00AB34EB" w:rsidRPr="001A017E">
        <w:rPr>
          <w:rFonts w:ascii="Times New Roman" w:hAnsi="Times New Roman" w:cs="Times New Roman"/>
          <w:color w:val="000000"/>
          <w:sz w:val="24"/>
          <w:lang w:val="pt-BR"/>
        </w:rPr>
        <w:t xml:space="preserve"> </w:t>
      </w:r>
      <w:r w:rsidRPr="001A017E">
        <w:rPr>
          <w:rFonts w:ascii="Times New Roman" w:hAnsi="Times New Roman" w:cs="Times New Roman"/>
          <w:color w:val="000000"/>
          <w:sz w:val="24"/>
          <w:lang w:val="pt-BR"/>
        </w:rPr>
        <w:t>deve ser contabilizado pelo método de equivalência patrimonial, exceto quando</w:t>
      </w:r>
      <w:r w:rsidR="001A017E">
        <w:rPr>
          <w:rFonts w:ascii="Times New Roman" w:hAnsi="Times New Roman" w:cs="Times New Roman"/>
          <w:color w:val="000000"/>
          <w:sz w:val="24"/>
          <w:lang w:val="pt-BR"/>
        </w:rPr>
        <w:t xml:space="preserve"> classificado </w:t>
      </w:r>
      <w:r w:rsidRPr="001A017E">
        <w:rPr>
          <w:rFonts w:ascii="Times New Roman" w:hAnsi="Times New Roman" w:cs="Times New Roman"/>
          <w:color w:val="000000"/>
          <w:sz w:val="24"/>
          <w:lang w:val="pt-BR"/>
        </w:rPr>
        <w:t>como mantido para venda</w:t>
      </w:r>
      <w:r w:rsidR="00811144">
        <w:rPr>
          <w:rFonts w:ascii="Times New Roman" w:hAnsi="Times New Roman" w:cs="Times New Roman"/>
          <w:color w:val="000000"/>
          <w:sz w:val="24"/>
          <w:lang w:val="pt-BR"/>
        </w:rPr>
        <w:t>,</w:t>
      </w:r>
      <w:r w:rsidRPr="001A017E">
        <w:rPr>
          <w:rFonts w:ascii="Times New Roman" w:hAnsi="Times New Roman" w:cs="Times New Roman"/>
          <w:color w:val="000000"/>
          <w:sz w:val="24"/>
          <w:lang w:val="pt-BR"/>
        </w:rPr>
        <w:t xml:space="preserve"> conforme o Pronunciamento Técnico CPC 31 - Ativo Não Circulante Mantido para Venda e Operação Descontinuada</w:t>
      </w:r>
      <w:r w:rsidR="001A017E">
        <w:rPr>
          <w:rFonts w:ascii="Times New Roman" w:hAnsi="Times New Roman" w:cs="Times New Roman"/>
          <w:color w:val="000000"/>
          <w:sz w:val="24"/>
          <w:lang w:val="pt-BR"/>
        </w:rPr>
        <w:t xml:space="preserve"> e em raríssimas outras situações.</w:t>
      </w:r>
    </w:p>
    <w:p w:rsidR="00C36F97" w:rsidRPr="00850D5F" w:rsidRDefault="00C36F97" w:rsidP="00C36F97">
      <w:pPr>
        <w:widowControl w:val="0"/>
        <w:spacing w:before="0" w:after="0"/>
        <w:ind w:right="57"/>
        <w:rPr>
          <w:rFonts w:ascii="Times New Roman" w:hAnsi="Times New Roman"/>
          <w:bCs/>
          <w:iCs/>
          <w:color w:val="000000"/>
          <w:sz w:val="24"/>
          <w:lang w:val="pt-BR"/>
        </w:rPr>
      </w:pPr>
    </w:p>
    <w:p w:rsidR="00C36F97" w:rsidRPr="00850D5F" w:rsidRDefault="00C36F97" w:rsidP="00C36F97">
      <w:pPr>
        <w:pStyle w:val="Textoembloco"/>
        <w:numPr>
          <w:ilvl w:val="0"/>
          <w:numId w:val="1"/>
        </w:numPr>
        <w:spacing w:before="0" w:after="0"/>
        <w:jc w:val="both"/>
        <w:rPr>
          <w:rFonts w:ascii="Times New Roman" w:hAnsi="Times New Roman" w:cs="Times New Roman"/>
          <w:color w:val="000000"/>
          <w:sz w:val="24"/>
          <w:lang w:val="pt-BR"/>
        </w:rPr>
      </w:pPr>
      <w:r>
        <w:rPr>
          <w:rFonts w:ascii="Times New Roman" w:hAnsi="Times New Roman" w:cs="Times New Roman"/>
          <w:color w:val="000000"/>
          <w:sz w:val="24"/>
          <w:lang w:val="pt-BR"/>
        </w:rPr>
        <w:t>É exigido que a entidade considere a existência e o efeito dos direitos de voto potencial que forem prontamente exercíveis ou conversíveis para fins de determinar se possui influência significativa</w:t>
      </w:r>
      <w:r w:rsidR="001A017E">
        <w:rPr>
          <w:rFonts w:ascii="Times New Roman" w:hAnsi="Times New Roman" w:cs="Times New Roman"/>
          <w:color w:val="000000"/>
          <w:sz w:val="24"/>
          <w:lang w:val="pt-BR"/>
        </w:rPr>
        <w:t xml:space="preserve"> ou controle</w:t>
      </w:r>
      <w:r>
        <w:rPr>
          <w:rFonts w:ascii="Times New Roman" w:hAnsi="Times New Roman" w:cs="Times New Roman"/>
          <w:color w:val="000000"/>
          <w:sz w:val="24"/>
          <w:lang w:val="pt-BR"/>
        </w:rPr>
        <w:t>.</w:t>
      </w:r>
    </w:p>
    <w:p w:rsidR="00C36F97" w:rsidRPr="001D4BC4" w:rsidRDefault="00C36F97" w:rsidP="00C36F97">
      <w:pPr>
        <w:widowControl w:val="0"/>
        <w:spacing w:before="0" w:after="0"/>
        <w:ind w:right="57"/>
        <w:rPr>
          <w:rFonts w:ascii="Times New Roman" w:hAnsi="Times New Roman"/>
          <w:bCs/>
          <w:iCs/>
          <w:color w:val="000000"/>
          <w:sz w:val="24"/>
          <w:lang w:val="pt-BR"/>
        </w:rPr>
      </w:pPr>
    </w:p>
    <w:p w:rsidR="00C36F97" w:rsidRDefault="00C36F97" w:rsidP="00C36F97">
      <w:pPr>
        <w:pStyle w:val="Textoembloco"/>
        <w:numPr>
          <w:ilvl w:val="0"/>
          <w:numId w:val="1"/>
        </w:numPr>
        <w:spacing w:before="0" w:after="0"/>
        <w:jc w:val="both"/>
        <w:rPr>
          <w:rFonts w:ascii="Times New Roman" w:hAnsi="Times New Roman" w:cs="Times New Roman"/>
          <w:color w:val="000000"/>
          <w:sz w:val="24"/>
          <w:lang w:val="pt-BR"/>
        </w:rPr>
      </w:pPr>
      <w:r>
        <w:rPr>
          <w:rFonts w:ascii="Times New Roman" w:hAnsi="Times New Roman" w:cs="Times New Roman"/>
          <w:color w:val="000000"/>
          <w:sz w:val="24"/>
          <w:lang w:val="pt-BR"/>
        </w:rPr>
        <w:t xml:space="preserve">O Pronunciamento não permite ao investidor deixar de aplicar o método de equivalência patrimonial quando sua coligada </w:t>
      </w:r>
      <w:r w:rsidR="001A017E">
        <w:rPr>
          <w:rFonts w:ascii="Times New Roman" w:hAnsi="Times New Roman" w:cs="Times New Roman"/>
          <w:color w:val="000000"/>
          <w:sz w:val="24"/>
          <w:lang w:val="pt-BR"/>
        </w:rPr>
        <w:t xml:space="preserve">ou controlada </w:t>
      </w:r>
      <w:r>
        <w:rPr>
          <w:rFonts w:ascii="Times New Roman" w:hAnsi="Times New Roman" w:cs="Times New Roman"/>
          <w:color w:val="000000"/>
          <w:sz w:val="24"/>
          <w:lang w:val="pt-BR"/>
        </w:rPr>
        <w:t>estiver operando sob severas restrições, as quais afetam sua capacidade de transferir fundos ao investidor, caso este continue a ter influência significativa sobre tal coligada</w:t>
      </w:r>
      <w:r w:rsidR="001A017E">
        <w:rPr>
          <w:rFonts w:ascii="Times New Roman" w:hAnsi="Times New Roman" w:cs="Times New Roman"/>
          <w:color w:val="000000"/>
          <w:sz w:val="24"/>
          <w:lang w:val="pt-BR"/>
        </w:rPr>
        <w:t xml:space="preserve"> ou controle sobre a controlada</w:t>
      </w:r>
      <w:r>
        <w:rPr>
          <w:rFonts w:ascii="Times New Roman" w:hAnsi="Times New Roman" w:cs="Times New Roman"/>
          <w:color w:val="000000"/>
          <w:sz w:val="24"/>
          <w:lang w:val="pt-BR"/>
        </w:rPr>
        <w:t>. A aplicação do método de equivalência patrimonial cessa somente após o investidor perde</w:t>
      </w:r>
      <w:r w:rsidR="001A017E">
        <w:rPr>
          <w:rFonts w:ascii="Times New Roman" w:hAnsi="Times New Roman" w:cs="Times New Roman"/>
          <w:color w:val="000000"/>
          <w:sz w:val="24"/>
          <w:lang w:val="pt-BR"/>
        </w:rPr>
        <w:t>r</w:t>
      </w:r>
      <w:r>
        <w:rPr>
          <w:rFonts w:ascii="Times New Roman" w:hAnsi="Times New Roman" w:cs="Times New Roman"/>
          <w:color w:val="000000"/>
          <w:sz w:val="24"/>
          <w:lang w:val="pt-BR"/>
        </w:rPr>
        <w:t xml:space="preserve"> a influência significativa</w:t>
      </w:r>
      <w:r w:rsidR="001A017E">
        <w:rPr>
          <w:rFonts w:ascii="Times New Roman" w:hAnsi="Times New Roman" w:cs="Times New Roman"/>
          <w:color w:val="000000"/>
          <w:sz w:val="24"/>
          <w:lang w:val="pt-BR"/>
        </w:rPr>
        <w:t xml:space="preserve"> ou o controle</w:t>
      </w:r>
      <w:r>
        <w:rPr>
          <w:rFonts w:ascii="Times New Roman" w:hAnsi="Times New Roman" w:cs="Times New Roman"/>
          <w:color w:val="000000"/>
          <w:sz w:val="24"/>
          <w:lang w:val="pt-BR"/>
        </w:rPr>
        <w:t>.</w:t>
      </w:r>
    </w:p>
    <w:p w:rsidR="00C36F97" w:rsidRDefault="00C36F97" w:rsidP="00C36F97">
      <w:pPr>
        <w:pStyle w:val="Textoembloco"/>
        <w:spacing w:before="0" w:after="0"/>
        <w:ind w:left="0" w:firstLine="0"/>
        <w:jc w:val="both"/>
        <w:rPr>
          <w:rFonts w:ascii="Times New Roman" w:hAnsi="Times New Roman" w:cs="Times New Roman"/>
          <w:color w:val="000000"/>
          <w:sz w:val="24"/>
          <w:lang w:val="pt-BR"/>
        </w:rPr>
      </w:pPr>
    </w:p>
    <w:p w:rsidR="0022233F" w:rsidRPr="0022233F" w:rsidRDefault="00C36F97" w:rsidP="0022233F">
      <w:pPr>
        <w:pStyle w:val="Textoembloco"/>
        <w:numPr>
          <w:ilvl w:val="0"/>
          <w:numId w:val="1"/>
        </w:numPr>
        <w:spacing w:before="0" w:after="0"/>
        <w:jc w:val="both"/>
        <w:rPr>
          <w:rFonts w:ascii="Times New Roman" w:hAnsi="Times New Roman" w:cs="Times New Roman"/>
          <w:color w:val="000000"/>
          <w:sz w:val="24"/>
          <w:lang w:val="pt-BR"/>
        </w:rPr>
      </w:pPr>
      <w:r>
        <w:rPr>
          <w:rFonts w:ascii="Times New Roman" w:hAnsi="Times New Roman" w:cs="Times New Roman"/>
          <w:color w:val="000000"/>
          <w:sz w:val="24"/>
          <w:lang w:val="pt-BR"/>
        </w:rPr>
        <w:t xml:space="preserve">Na aquisição de um investimento em coligada </w:t>
      </w:r>
      <w:r w:rsidR="001A017E">
        <w:rPr>
          <w:rFonts w:ascii="Times New Roman" w:hAnsi="Times New Roman" w:cs="Times New Roman"/>
          <w:color w:val="000000"/>
          <w:sz w:val="24"/>
          <w:lang w:val="pt-BR"/>
        </w:rPr>
        <w:t>ou controlada</w:t>
      </w:r>
      <w:r w:rsidR="00F140C8">
        <w:rPr>
          <w:rFonts w:ascii="Times New Roman" w:hAnsi="Times New Roman" w:cs="Times New Roman"/>
          <w:color w:val="000000"/>
          <w:sz w:val="24"/>
          <w:lang w:val="pt-BR"/>
        </w:rPr>
        <w:t>,</w:t>
      </w:r>
      <w:r w:rsidR="001A017E">
        <w:rPr>
          <w:rFonts w:ascii="Times New Roman" w:hAnsi="Times New Roman" w:cs="Times New Roman"/>
          <w:color w:val="000000"/>
          <w:sz w:val="24"/>
          <w:lang w:val="pt-BR"/>
        </w:rPr>
        <w:t xml:space="preserve"> </w:t>
      </w:r>
      <w:r>
        <w:rPr>
          <w:rFonts w:ascii="Times New Roman" w:hAnsi="Times New Roman" w:cs="Times New Roman"/>
          <w:color w:val="000000"/>
          <w:sz w:val="24"/>
          <w:lang w:val="pt-BR"/>
        </w:rPr>
        <w:t xml:space="preserve">há a segregação da parcela do investimento correspondente à diferença entre o valor pago e a parcela sobre o valor justo dos ativos líquidos adquiridos, que não é classificada como </w:t>
      </w:r>
      <w:r w:rsidRPr="009F47BC">
        <w:rPr>
          <w:rFonts w:ascii="Times New Roman" w:hAnsi="Times New Roman" w:cs="Times New Roman"/>
          <w:i/>
          <w:color w:val="000000"/>
          <w:sz w:val="24"/>
          <w:lang w:val="pt-BR"/>
        </w:rPr>
        <w:t>goodwill</w:t>
      </w:r>
      <w:r>
        <w:rPr>
          <w:rFonts w:ascii="Times New Roman" w:hAnsi="Times New Roman" w:cs="Times New Roman"/>
          <w:color w:val="000000"/>
          <w:sz w:val="24"/>
          <w:lang w:val="pt-BR"/>
        </w:rPr>
        <w:t xml:space="preserve"> no Ativo Intangível</w:t>
      </w:r>
      <w:r w:rsidR="0022233F">
        <w:rPr>
          <w:rFonts w:ascii="Times New Roman" w:hAnsi="Times New Roman" w:cs="Times New Roman"/>
          <w:color w:val="000000"/>
          <w:sz w:val="24"/>
          <w:lang w:val="pt-BR"/>
        </w:rPr>
        <w:t xml:space="preserve"> </w:t>
      </w:r>
      <w:r w:rsidR="00F140C8">
        <w:rPr>
          <w:rFonts w:ascii="Times New Roman" w:hAnsi="Times New Roman" w:cs="Times New Roman"/>
          <w:color w:val="000000"/>
          <w:sz w:val="24"/>
          <w:lang w:val="pt-BR"/>
        </w:rPr>
        <w:t xml:space="preserve">no balanço individual </w:t>
      </w:r>
      <w:r w:rsidR="0022233F">
        <w:rPr>
          <w:rFonts w:ascii="Times New Roman" w:hAnsi="Times New Roman" w:cs="Times New Roman"/>
          <w:color w:val="000000"/>
          <w:sz w:val="24"/>
          <w:lang w:val="pt-BR"/>
        </w:rPr>
        <w:t>e nem é amortizada sistematicamente</w:t>
      </w:r>
      <w:r>
        <w:rPr>
          <w:rFonts w:ascii="Times New Roman" w:hAnsi="Times New Roman" w:cs="Times New Roman"/>
          <w:color w:val="000000"/>
          <w:sz w:val="24"/>
          <w:lang w:val="pt-BR"/>
        </w:rPr>
        <w:t>, permanecendo no subgrupo de Investimentos</w:t>
      </w:r>
      <w:r w:rsidR="00F140C8">
        <w:rPr>
          <w:rFonts w:ascii="Times New Roman" w:hAnsi="Times New Roman" w:cs="Times New Roman"/>
          <w:color w:val="000000"/>
          <w:sz w:val="24"/>
          <w:lang w:val="pt-BR"/>
        </w:rPr>
        <w:t xml:space="preserve"> </w:t>
      </w:r>
      <w:r>
        <w:rPr>
          <w:rFonts w:ascii="Times New Roman" w:hAnsi="Times New Roman" w:cs="Times New Roman"/>
          <w:color w:val="000000"/>
          <w:sz w:val="24"/>
          <w:lang w:val="pt-BR"/>
        </w:rPr>
        <w:t xml:space="preserve">e sujeita aos testes de </w:t>
      </w:r>
      <w:r w:rsidRPr="009003C9">
        <w:rPr>
          <w:rFonts w:ascii="Times New Roman" w:hAnsi="Times New Roman" w:cs="Times New Roman"/>
          <w:i/>
          <w:color w:val="000000"/>
          <w:sz w:val="24"/>
          <w:lang w:val="pt-BR"/>
        </w:rPr>
        <w:t>impairment</w:t>
      </w:r>
      <w:r w:rsidR="001A017E">
        <w:rPr>
          <w:rFonts w:ascii="Times New Roman" w:hAnsi="Times New Roman" w:cs="Times New Roman"/>
          <w:color w:val="000000"/>
          <w:sz w:val="24"/>
          <w:lang w:val="pt-BR"/>
        </w:rPr>
        <w:t xml:space="preserve">; no caso de coligada, </w:t>
      </w:r>
      <w:r w:rsidR="0022233F">
        <w:rPr>
          <w:rFonts w:ascii="Times New Roman" w:hAnsi="Times New Roman" w:cs="Times New Roman"/>
          <w:color w:val="000000"/>
          <w:sz w:val="24"/>
          <w:lang w:val="pt-BR"/>
        </w:rPr>
        <w:t xml:space="preserve">esse teste é </w:t>
      </w:r>
      <w:r>
        <w:rPr>
          <w:rFonts w:ascii="Times New Roman" w:hAnsi="Times New Roman" w:cs="Times New Roman"/>
          <w:color w:val="000000"/>
          <w:sz w:val="24"/>
          <w:lang w:val="pt-BR"/>
        </w:rPr>
        <w:t xml:space="preserve">em conjunto com o restante do valor contábil do investimento. </w:t>
      </w:r>
      <w:r w:rsidR="0022233F">
        <w:rPr>
          <w:rFonts w:ascii="Times New Roman" w:hAnsi="Times New Roman" w:cs="Times New Roman"/>
          <w:color w:val="000000"/>
          <w:sz w:val="24"/>
          <w:lang w:val="pt-BR"/>
        </w:rPr>
        <w:t xml:space="preserve">No caso de controlada, o teste de </w:t>
      </w:r>
      <w:r w:rsidR="0022233F">
        <w:rPr>
          <w:rFonts w:ascii="Times New Roman" w:hAnsi="Times New Roman" w:cs="Times New Roman"/>
          <w:i/>
          <w:color w:val="000000"/>
          <w:sz w:val="24"/>
          <w:lang w:val="pt-BR"/>
        </w:rPr>
        <w:t>impairment</w:t>
      </w:r>
      <w:r w:rsidR="0022233F">
        <w:rPr>
          <w:rFonts w:ascii="Times New Roman" w:hAnsi="Times New Roman" w:cs="Times New Roman"/>
          <w:color w:val="000000"/>
          <w:sz w:val="24"/>
          <w:lang w:val="pt-BR"/>
        </w:rPr>
        <w:t xml:space="preserve"> é o mesmo </w:t>
      </w:r>
      <w:r w:rsidR="00C07767">
        <w:rPr>
          <w:rFonts w:ascii="Times New Roman" w:hAnsi="Times New Roman" w:cs="Times New Roman"/>
          <w:color w:val="000000"/>
          <w:sz w:val="24"/>
          <w:lang w:val="pt-BR"/>
        </w:rPr>
        <w:t xml:space="preserve">daquele </w:t>
      </w:r>
      <w:r w:rsidR="0022233F">
        <w:rPr>
          <w:rFonts w:ascii="Times New Roman" w:hAnsi="Times New Roman" w:cs="Times New Roman"/>
          <w:color w:val="000000"/>
          <w:sz w:val="24"/>
          <w:lang w:val="pt-BR"/>
        </w:rPr>
        <w:t>aplicado às demonstrações consolidadas</w:t>
      </w:r>
      <w:r w:rsidR="00F140C8">
        <w:rPr>
          <w:rFonts w:ascii="Times New Roman" w:hAnsi="Times New Roman" w:cs="Times New Roman"/>
          <w:color w:val="000000"/>
          <w:sz w:val="24"/>
          <w:lang w:val="pt-BR"/>
        </w:rPr>
        <w:t xml:space="preserve"> e, nestas, esse ágio é classificado como Ativo Intangível</w:t>
      </w:r>
      <w:r w:rsidR="0022233F">
        <w:rPr>
          <w:rFonts w:ascii="Times New Roman" w:hAnsi="Times New Roman" w:cs="Times New Roman"/>
          <w:color w:val="000000"/>
          <w:sz w:val="24"/>
          <w:lang w:val="pt-BR"/>
        </w:rPr>
        <w:t>.</w:t>
      </w:r>
    </w:p>
    <w:p w:rsidR="0022233F" w:rsidRPr="0022233F" w:rsidRDefault="0022233F" w:rsidP="0022233F">
      <w:pPr>
        <w:pStyle w:val="Textoembloco"/>
        <w:spacing w:before="0" w:after="0"/>
        <w:ind w:left="567" w:firstLine="0"/>
        <w:jc w:val="both"/>
        <w:rPr>
          <w:rFonts w:ascii="Times New Roman" w:hAnsi="Times New Roman" w:cs="Times New Roman"/>
          <w:color w:val="000000"/>
          <w:sz w:val="24"/>
          <w:lang w:val="pt-BR"/>
        </w:rPr>
      </w:pPr>
    </w:p>
    <w:p w:rsidR="001A017E" w:rsidRPr="001A017E" w:rsidRDefault="00C36F97" w:rsidP="001A017E">
      <w:pPr>
        <w:pStyle w:val="Textoembloco"/>
        <w:numPr>
          <w:ilvl w:val="0"/>
          <w:numId w:val="1"/>
        </w:numPr>
        <w:spacing w:before="0" w:after="0"/>
        <w:jc w:val="both"/>
        <w:rPr>
          <w:rFonts w:ascii="Times New Roman" w:hAnsi="Times New Roman" w:cs="Times New Roman"/>
          <w:color w:val="000000"/>
          <w:sz w:val="24"/>
          <w:lang w:val="pt-BR"/>
        </w:rPr>
      </w:pPr>
      <w:r>
        <w:rPr>
          <w:rFonts w:ascii="Times New Roman" w:hAnsi="Times New Roman" w:cs="Times New Roman"/>
          <w:color w:val="000000"/>
          <w:sz w:val="24"/>
          <w:lang w:val="pt-BR"/>
        </w:rPr>
        <w:t>É também segregada a parcela referente à diferença entre o valor justo dos ativos líquidos adquiridos e seu valor contábil</w:t>
      </w:r>
      <w:r w:rsidR="00F140C8">
        <w:rPr>
          <w:rFonts w:ascii="Times New Roman" w:hAnsi="Times New Roman" w:cs="Times New Roman"/>
          <w:color w:val="000000"/>
          <w:sz w:val="24"/>
          <w:lang w:val="pt-BR"/>
        </w:rPr>
        <w:t xml:space="preserve"> no balanço individual</w:t>
      </w:r>
      <w:r>
        <w:rPr>
          <w:rFonts w:ascii="Times New Roman" w:hAnsi="Times New Roman" w:cs="Times New Roman"/>
          <w:color w:val="000000"/>
          <w:sz w:val="24"/>
          <w:lang w:val="pt-BR"/>
        </w:rPr>
        <w:t>, para fins de baixa proporcionalmente à sua realização na coligada</w:t>
      </w:r>
      <w:r w:rsidR="001A017E">
        <w:rPr>
          <w:rFonts w:ascii="Times New Roman" w:hAnsi="Times New Roman" w:cs="Times New Roman"/>
          <w:color w:val="000000"/>
          <w:sz w:val="24"/>
          <w:lang w:val="pt-BR"/>
        </w:rPr>
        <w:t xml:space="preserve"> e na controlada</w:t>
      </w:r>
      <w:r>
        <w:rPr>
          <w:rFonts w:ascii="Times New Roman" w:hAnsi="Times New Roman" w:cs="Times New Roman"/>
          <w:color w:val="000000"/>
          <w:sz w:val="24"/>
          <w:lang w:val="pt-BR"/>
        </w:rPr>
        <w:t>.</w:t>
      </w:r>
    </w:p>
    <w:p w:rsidR="001A017E" w:rsidRPr="001A017E" w:rsidRDefault="001A017E" w:rsidP="001A017E">
      <w:pPr>
        <w:pStyle w:val="Textoembloco"/>
        <w:spacing w:before="0" w:after="0"/>
        <w:ind w:left="567" w:firstLine="0"/>
        <w:jc w:val="both"/>
        <w:rPr>
          <w:rFonts w:ascii="Times New Roman" w:hAnsi="Times New Roman" w:cs="Times New Roman"/>
          <w:color w:val="000000"/>
          <w:sz w:val="24"/>
          <w:lang w:val="pt-BR"/>
        </w:rPr>
      </w:pPr>
    </w:p>
    <w:p w:rsidR="001A017E" w:rsidRDefault="001A017E" w:rsidP="001A017E">
      <w:pPr>
        <w:pStyle w:val="Textoembloco"/>
        <w:numPr>
          <w:ilvl w:val="0"/>
          <w:numId w:val="1"/>
        </w:numPr>
        <w:spacing w:before="0" w:after="0"/>
        <w:jc w:val="both"/>
        <w:rPr>
          <w:rFonts w:ascii="Times New Roman" w:hAnsi="Times New Roman" w:cs="Times New Roman"/>
          <w:color w:val="000000"/>
          <w:sz w:val="24"/>
          <w:lang w:val="pt-BR"/>
        </w:rPr>
      </w:pPr>
      <w:r w:rsidRPr="009F47BC">
        <w:rPr>
          <w:rFonts w:ascii="Times New Roman" w:hAnsi="Times New Roman" w:cs="Times New Roman"/>
          <w:color w:val="000000"/>
          <w:sz w:val="24"/>
          <w:lang w:val="pt-BR"/>
        </w:rPr>
        <w:t>O resultado da equivalência patrimonial corresponde</w:t>
      </w:r>
      <w:r>
        <w:rPr>
          <w:rFonts w:ascii="Times New Roman" w:hAnsi="Times New Roman" w:cs="Times New Roman"/>
          <w:color w:val="000000"/>
          <w:sz w:val="24"/>
          <w:lang w:val="pt-BR"/>
        </w:rPr>
        <w:t xml:space="preserve"> </w:t>
      </w:r>
      <w:r w:rsidRPr="009F47BC">
        <w:rPr>
          <w:rFonts w:ascii="Times New Roman" w:hAnsi="Times New Roman" w:cs="Times New Roman"/>
          <w:color w:val="000000"/>
          <w:sz w:val="24"/>
          <w:lang w:val="pt-BR"/>
        </w:rPr>
        <w:t>à participação da investidora no resultado da coligada</w:t>
      </w:r>
      <w:r>
        <w:rPr>
          <w:rFonts w:ascii="Times New Roman" w:hAnsi="Times New Roman" w:cs="Times New Roman"/>
          <w:color w:val="000000"/>
          <w:sz w:val="24"/>
          <w:lang w:val="pt-BR"/>
        </w:rPr>
        <w:t xml:space="preserve"> e da controlada</w:t>
      </w:r>
      <w:r w:rsidR="00663B40">
        <w:rPr>
          <w:rFonts w:ascii="Times New Roman" w:hAnsi="Times New Roman" w:cs="Times New Roman"/>
          <w:color w:val="000000"/>
          <w:sz w:val="24"/>
          <w:lang w:val="pt-BR"/>
        </w:rPr>
        <w:t>. A participação sobre</w:t>
      </w:r>
      <w:r w:rsidRPr="009F47BC">
        <w:rPr>
          <w:rFonts w:ascii="Times New Roman" w:hAnsi="Times New Roman" w:cs="Times New Roman"/>
          <w:color w:val="000000"/>
          <w:sz w:val="24"/>
          <w:lang w:val="pt-BR"/>
        </w:rPr>
        <w:t xml:space="preserve"> as mutações patrimoniais na </w:t>
      </w:r>
      <w:r w:rsidR="00306D90">
        <w:rPr>
          <w:rFonts w:ascii="Times New Roman" w:hAnsi="Times New Roman" w:cs="Times New Roman"/>
          <w:color w:val="000000"/>
          <w:sz w:val="24"/>
          <w:lang w:val="pt-BR"/>
        </w:rPr>
        <w:t>investida</w:t>
      </w:r>
      <w:r w:rsidRPr="009F47BC">
        <w:rPr>
          <w:rFonts w:ascii="Times New Roman" w:hAnsi="Times New Roman" w:cs="Times New Roman"/>
          <w:color w:val="000000"/>
          <w:sz w:val="24"/>
          <w:lang w:val="pt-BR"/>
        </w:rPr>
        <w:t xml:space="preserve"> derivada</w:t>
      </w:r>
      <w:r w:rsidR="00306D90">
        <w:rPr>
          <w:rFonts w:ascii="Times New Roman" w:hAnsi="Times New Roman" w:cs="Times New Roman"/>
          <w:color w:val="000000"/>
          <w:sz w:val="24"/>
          <w:lang w:val="pt-BR"/>
        </w:rPr>
        <w:t>s</w:t>
      </w:r>
      <w:r w:rsidRPr="009F47BC">
        <w:rPr>
          <w:rFonts w:ascii="Times New Roman" w:hAnsi="Times New Roman" w:cs="Times New Roman"/>
          <w:color w:val="000000"/>
          <w:sz w:val="24"/>
          <w:lang w:val="pt-BR"/>
        </w:rPr>
        <w:t xml:space="preserve"> de outros resultados abrangentes </w:t>
      </w:r>
      <w:r w:rsidR="00663B40">
        <w:rPr>
          <w:rFonts w:ascii="Times New Roman" w:hAnsi="Times New Roman" w:cs="Times New Roman"/>
          <w:color w:val="000000"/>
          <w:sz w:val="24"/>
          <w:lang w:val="pt-BR"/>
        </w:rPr>
        <w:t xml:space="preserve">reconhecidos diretamente no patrimônio líquido da investida </w:t>
      </w:r>
      <w:r w:rsidRPr="009F47BC">
        <w:rPr>
          <w:rFonts w:ascii="Times New Roman" w:hAnsi="Times New Roman" w:cs="Times New Roman"/>
          <w:color w:val="000000"/>
          <w:sz w:val="24"/>
          <w:lang w:val="pt-BR"/>
        </w:rPr>
        <w:t>deve também ser reconhecida diretamente no patrimônio líquido da investidora e</w:t>
      </w:r>
      <w:r w:rsidR="00025BDD">
        <w:rPr>
          <w:rFonts w:ascii="Times New Roman" w:hAnsi="Times New Roman" w:cs="Times New Roman"/>
          <w:color w:val="000000"/>
          <w:sz w:val="24"/>
          <w:lang w:val="pt-BR"/>
        </w:rPr>
        <w:t>,</w:t>
      </w:r>
      <w:r w:rsidRPr="009F47BC">
        <w:rPr>
          <w:rFonts w:ascii="Times New Roman" w:hAnsi="Times New Roman" w:cs="Times New Roman"/>
          <w:color w:val="000000"/>
          <w:sz w:val="24"/>
          <w:lang w:val="pt-BR"/>
        </w:rPr>
        <w:t xml:space="preserve"> não</w:t>
      </w:r>
      <w:r w:rsidR="00025BDD">
        <w:rPr>
          <w:rFonts w:ascii="Times New Roman" w:hAnsi="Times New Roman" w:cs="Times New Roman"/>
          <w:color w:val="000000"/>
          <w:sz w:val="24"/>
          <w:lang w:val="pt-BR"/>
        </w:rPr>
        <w:t>,</w:t>
      </w:r>
      <w:r w:rsidRPr="009F47BC">
        <w:rPr>
          <w:rFonts w:ascii="Times New Roman" w:hAnsi="Times New Roman" w:cs="Times New Roman"/>
          <w:color w:val="000000"/>
          <w:sz w:val="24"/>
          <w:lang w:val="pt-BR"/>
        </w:rPr>
        <w:t xml:space="preserve"> no resultado. </w:t>
      </w:r>
    </w:p>
    <w:p w:rsidR="00677FDC" w:rsidRPr="00D6041D" w:rsidRDefault="00677FDC" w:rsidP="00677FDC">
      <w:pPr>
        <w:pStyle w:val="Textoembloco"/>
        <w:spacing w:before="0" w:after="0" w:line="240" w:lineRule="auto"/>
        <w:ind w:left="567" w:firstLine="0"/>
        <w:jc w:val="both"/>
        <w:rPr>
          <w:rFonts w:ascii="Times New Roman" w:hAnsi="Times New Roman" w:cs="Times New Roman"/>
          <w:sz w:val="24"/>
          <w:lang w:val="pt-BR"/>
        </w:rPr>
      </w:pPr>
    </w:p>
    <w:p w:rsidR="00677FDC" w:rsidRPr="00D6041D" w:rsidRDefault="00677FDC" w:rsidP="00677FDC">
      <w:pPr>
        <w:pStyle w:val="Textoembloco"/>
        <w:numPr>
          <w:ilvl w:val="0"/>
          <w:numId w:val="1"/>
        </w:numPr>
        <w:spacing w:before="0" w:after="0" w:line="240" w:lineRule="auto"/>
        <w:jc w:val="both"/>
        <w:rPr>
          <w:rFonts w:ascii="Times New Roman" w:hAnsi="Times New Roman" w:cs="Times New Roman"/>
          <w:sz w:val="24"/>
          <w:lang w:val="pt-BR"/>
        </w:rPr>
      </w:pPr>
      <w:r w:rsidRPr="00D6041D">
        <w:rPr>
          <w:rFonts w:ascii="Times New Roman" w:hAnsi="Times New Roman" w:cs="Times New Roman"/>
          <w:sz w:val="24"/>
          <w:lang w:val="pt-BR"/>
        </w:rPr>
        <w:t>Os resultados decorrentes de transações ascendentes (</w:t>
      </w:r>
      <w:r w:rsidRPr="00D6041D">
        <w:rPr>
          <w:rFonts w:ascii="Times New Roman" w:hAnsi="Times New Roman" w:cs="Times New Roman"/>
          <w:i/>
          <w:sz w:val="24"/>
          <w:lang w:val="pt-BR"/>
        </w:rPr>
        <w:t>upstream</w:t>
      </w:r>
      <w:r w:rsidRPr="00D6041D">
        <w:rPr>
          <w:rFonts w:ascii="Times New Roman" w:hAnsi="Times New Roman" w:cs="Times New Roman"/>
          <w:sz w:val="24"/>
          <w:lang w:val="pt-BR"/>
        </w:rPr>
        <w:t>) e descendentes (</w:t>
      </w:r>
      <w:r w:rsidRPr="00D6041D">
        <w:rPr>
          <w:rFonts w:ascii="Times New Roman" w:hAnsi="Times New Roman" w:cs="Times New Roman"/>
          <w:i/>
          <w:sz w:val="24"/>
          <w:lang w:val="pt-BR"/>
        </w:rPr>
        <w:t>downstream</w:t>
      </w:r>
      <w:r w:rsidRPr="00D6041D">
        <w:rPr>
          <w:rFonts w:ascii="Times New Roman" w:hAnsi="Times New Roman" w:cs="Times New Roman"/>
          <w:sz w:val="24"/>
          <w:lang w:val="pt-BR"/>
        </w:rPr>
        <w:t xml:space="preserve">) entre o investidor (incluindo suas controladas consolidadas) e a coligada </w:t>
      </w:r>
      <w:r>
        <w:rPr>
          <w:rFonts w:ascii="Times New Roman" w:hAnsi="Times New Roman" w:cs="Times New Roman"/>
          <w:sz w:val="24"/>
          <w:lang w:val="pt-BR"/>
        </w:rPr>
        <w:t>devem ser</w:t>
      </w:r>
      <w:r w:rsidRPr="00D6041D">
        <w:rPr>
          <w:rFonts w:ascii="Times New Roman" w:hAnsi="Times New Roman" w:cs="Times New Roman"/>
          <w:sz w:val="24"/>
          <w:lang w:val="pt-BR"/>
        </w:rPr>
        <w:t xml:space="preserve"> reconhecidos nas demonstrações contábeis do investidor </w:t>
      </w:r>
      <w:r w:rsidRPr="00D6041D">
        <w:rPr>
          <w:rFonts w:ascii="Times New Roman" w:hAnsi="Times New Roman" w:cs="Times New Roman"/>
          <w:sz w:val="24"/>
          <w:lang w:val="pt-BR"/>
        </w:rPr>
        <w:lastRenderedPageBreak/>
        <w:t>somente na extensão da participação de outros investidores sobre essa coligada que sejam partes independentes do grupo econômico a que pertence a investidora. As transações ascendentes são, por exemplo, vendas de ativos da coligada para o investidor. As transações descendentes são, por exemplo, vendas de ativos do investidor para a coligada. A participação do investidor nos lucros e prejuízos resultantes dessas transações deve ser eliminada.</w:t>
      </w:r>
    </w:p>
    <w:p w:rsidR="00677FDC" w:rsidRPr="00D6041D" w:rsidRDefault="00677FDC" w:rsidP="00677FDC">
      <w:pPr>
        <w:pStyle w:val="Textoembloco"/>
        <w:spacing w:before="0" w:after="0" w:line="240" w:lineRule="auto"/>
        <w:ind w:left="567" w:firstLine="0"/>
        <w:jc w:val="both"/>
        <w:rPr>
          <w:rFonts w:ascii="Times New Roman" w:hAnsi="Times New Roman" w:cs="Times New Roman"/>
          <w:sz w:val="24"/>
          <w:lang w:val="pt-BR"/>
        </w:rPr>
      </w:pPr>
    </w:p>
    <w:p w:rsidR="00677FDC" w:rsidRPr="00685BAB" w:rsidRDefault="00677FDC" w:rsidP="00677FDC">
      <w:pPr>
        <w:pStyle w:val="Textoembloco"/>
        <w:numPr>
          <w:ilvl w:val="0"/>
          <w:numId w:val="1"/>
        </w:numPr>
        <w:spacing w:before="0" w:after="0" w:line="240" w:lineRule="auto"/>
        <w:jc w:val="both"/>
        <w:rPr>
          <w:rFonts w:ascii="Times New Roman" w:hAnsi="Times New Roman" w:cs="Times New Roman"/>
          <w:sz w:val="24"/>
          <w:lang w:val="pt-BR"/>
        </w:rPr>
      </w:pPr>
      <w:r w:rsidRPr="00685BAB">
        <w:rPr>
          <w:rFonts w:ascii="Times New Roman" w:hAnsi="Times New Roman" w:cs="Times New Roman"/>
          <w:sz w:val="24"/>
          <w:lang w:val="pt-BR"/>
        </w:rPr>
        <w:t>Os resultados decorrentes de transações descendentes (</w:t>
      </w:r>
      <w:r w:rsidRPr="00685BAB">
        <w:rPr>
          <w:rFonts w:ascii="Times New Roman" w:hAnsi="Times New Roman" w:cs="Times New Roman"/>
          <w:i/>
          <w:sz w:val="24"/>
          <w:lang w:val="pt-BR"/>
        </w:rPr>
        <w:t>downstream</w:t>
      </w:r>
      <w:r w:rsidRPr="00685BAB">
        <w:rPr>
          <w:rFonts w:ascii="Times New Roman" w:hAnsi="Times New Roman" w:cs="Times New Roman"/>
          <w:sz w:val="24"/>
          <w:lang w:val="pt-BR"/>
        </w:rPr>
        <w:t>) entre a controladora e a controlada não devem ser reconhecidos nas demonstrações contábeis individuais da controladora enquanto os ativos transacionados estiverem no balanço de adquirente pertencente ao mesmo grupo econômico. Aplica-se o disposto neste item inclusive quando a controladora é, por sua vez, controlada de outra entidade do mesmo grupo econômico.</w:t>
      </w:r>
    </w:p>
    <w:p w:rsidR="00677FDC" w:rsidRPr="00685BAB" w:rsidRDefault="00677FDC" w:rsidP="00677FDC">
      <w:pPr>
        <w:pStyle w:val="Textoembloco"/>
        <w:spacing w:before="0" w:after="0" w:line="240" w:lineRule="auto"/>
        <w:ind w:left="567" w:firstLine="0"/>
        <w:jc w:val="both"/>
        <w:rPr>
          <w:rFonts w:ascii="Times New Roman" w:hAnsi="Times New Roman" w:cs="Times New Roman"/>
          <w:sz w:val="24"/>
          <w:lang w:val="pt-BR"/>
        </w:rPr>
      </w:pPr>
    </w:p>
    <w:p w:rsidR="00677FDC" w:rsidRPr="00685BAB" w:rsidRDefault="00677FDC" w:rsidP="00677FDC">
      <w:pPr>
        <w:pStyle w:val="Textoembloco"/>
        <w:numPr>
          <w:ilvl w:val="0"/>
          <w:numId w:val="1"/>
        </w:numPr>
        <w:spacing w:before="0" w:after="0" w:line="240" w:lineRule="auto"/>
        <w:jc w:val="both"/>
        <w:rPr>
          <w:rFonts w:ascii="Times New Roman" w:hAnsi="Times New Roman" w:cs="Times New Roman"/>
          <w:sz w:val="24"/>
          <w:lang w:val="pt-BR"/>
        </w:rPr>
      </w:pPr>
      <w:r w:rsidRPr="00685BAB">
        <w:rPr>
          <w:rFonts w:ascii="Times New Roman" w:hAnsi="Times New Roman" w:cs="Times New Roman"/>
          <w:sz w:val="24"/>
          <w:lang w:val="pt-BR"/>
        </w:rPr>
        <w:t>Os resultados decorrentes de transações ascendentes (</w:t>
      </w:r>
      <w:r w:rsidRPr="00685BAB">
        <w:rPr>
          <w:rFonts w:ascii="Times New Roman" w:hAnsi="Times New Roman" w:cs="Times New Roman"/>
          <w:i/>
          <w:sz w:val="24"/>
          <w:lang w:val="pt-BR"/>
        </w:rPr>
        <w:t>upstream</w:t>
      </w:r>
      <w:r w:rsidRPr="00685BAB">
        <w:rPr>
          <w:rFonts w:ascii="Times New Roman" w:hAnsi="Times New Roman" w:cs="Times New Roman"/>
          <w:sz w:val="24"/>
          <w:lang w:val="pt-BR"/>
        </w:rPr>
        <w:t xml:space="preserve">) entre a controlada e a controladora e de transações entre as controladas do mesmo grupo econômico devem ser reconhecidos nas demonstrações contábeis da vendedora, mas não devem ser reconhecidos nas demonstrações contábeis individuais da controladora enquanto os ativos transacionados estiverem no balanço de adquirente pertencente ao grupo econômico. </w:t>
      </w:r>
    </w:p>
    <w:p w:rsidR="00677FDC" w:rsidRPr="00685BAB" w:rsidRDefault="00677FDC" w:rsidP="00677FDC">
      <w:pPr>
        <w:pStyle w:val="Textoembloco"/>
        <w:spacing w:before="0" w:after="0" w:line="240" w:lineRule="auto"/>
        <w:ind w:left="567" w:firstLine="0"/>
        <w:jc w:val="both"/>
        <w:rPr>
          <w:rFonts w:ascii="Times New Roman" w:hAnsi="Times New Roman" w:cs="Times New Roman"/>
          <w:sz w:val="24"/>
          <w:lang w:val="pt-BR"/>
        </w:rPr>
      </w:pPr>
    </w:p>
    <w:p w:rsidR="00677FDC" w:rsidRDefault="00677FDC" w:rsidP="00677FDC">
      <w:pPr>
        <w:pStyle w:val="Textoembloco"/>
        <w:numPr>
          <w:ilvl w:val="0"/>
          <w:numId w:val="1"/>
        </w:numPr>
        <w:spacing w:before="0" w:after="0" w:line="240" w:lineRule="auto"/>
        <w:jc w:val="both"/>
        <w:rPr>
          <w:rFonts w:ascii="Times New Roman" w:hAnsi="Times New Roman" w:cs="Times New Roman"/>
          <w:sz w:val="24"/>
          <w:lang w:val="pt-BR"/>
        </w:rPr>
      </w:pPr>
      <w:r w:rsidRPr="00685BAB">
        <w:rPr>
          <w:rFonts w:ascii="Times New Roman" w:hAnsi="Times New Roman" w:cs="Times New Roman"/>
          <w:sz w:val="24"/>
          <w:lang w:val="pt-BR"/>
        </w:rPr>
        <w:t xml:space="preserve">O disposto nos itens </w:t>
      </w:r>
      <w:r w:rsidR="00EF13B7">
        <w:rPr>
          <w:rFonts w:ascii="Times New Roman" w:hAnsi="Times New Roman" w:cs="Times New Roman"/>
          <w:sz w:val="24"/>
          <w:lang w:val="pt-BR"/>
        </w:rPr>
        <w:t xml:space="preserve">12 </w:t>
      </w:r>
      <w:r>
        <w:rPr>
          <w:rFonts w:ascii="Times New Roman" w:hAnsi="Times New Roman" w:cs="Times New Roman"/>
          <w:sz w:val="24"/>
          <w:lang w:val="pt-BR"/>
        </w:rPr>
        <w:t xml:space="preserve">e </w:t>
      </w:r>
      <w:r w:rsidR="00EF13B7">
        <w:rPr>
          <w:rFonts w:ascii="Times New Roman" w:hAnsi="Times New Roman" w:cs="Times New Roman"/>
          <w:sz w:val="24"/>
          <w:lang w:val="pt-BR"/>
        </w:rPr>
        <w:t xml:space="preserve">13 </w:t>
      </w:r>
      <w:r>
        <w:rPr>
          <w:rFonts w:ascii="Times New Roman" w:hAnsi="Times New Roman" w:cs="Times New Roman"/>
          <w:sz w:val="24"/>
          <w:lang w:val="pt-BR"/>
        </w:rPr>
        <w:t>acima (</w:t>
      </w:r>
      <w:r w:rsidRPr="00685BAB">
        <w:rPr>
          <w:rFonts w:ascii="Times New Roman" w:hAnsi="Times New Roman" w:cs="Times New Roman"/>
          <w:sz w:val="24"/>
          <w:lang w:val="pt-BR"/>
        </w:rPr>
        <w:t>22A e 22B</w:t>
      </w:r>
      <w:r>
        <w:rPr>
          <w:rFonts w:ascii="Times New Roman" w:hAnsi="Times New Roman" w:cs="Times New Roman"/>
          <w:sz w:val="24"/>
          <w:lang w:val="pt-BR"/>
        </w:rPr>
        <w:t xml:space="preserve"> do Pronunciamento CPC 18 (R1))</w:t>
      </w:r>
      <w:r w:rsidRPr="00685BAB">
        <w:rPr>
          <w:rFonts w:ascii="Times New Roman" w:hAnsi="Times New Roman" w:cs="Times New Roman"/>
          <w:sz w:val="24"/>
          <w:lang w:val="pt-BR"/>
        </w:rPr>
        <w:t xml:space="preserve"> deve produzir o mesmo resultado líquido e o mesmo patrimônio líquido para a controladora obtidos a partir das demonstrações contábeis consolidadas dessa controladora e suas controladas. Devem também, para esses mesmos itens, ser observadas as disposições contidas na Interpretação Técnica ICPC 09</w:t>
      </w:r>
      <w:r w:rsidR="007C3A32">
        <w:rPr>
          <w:rFonts w:ascii="Times New Roman" w:hAnsi="Times New Roman" w:cs="Times New Roman"/>
          <w:sz w:val="24"/>
          <w:lang w:val="pt-BR"/>
        </w:rPr>
        <w:t xml:space="preserve"> (R1)</w:t>
      </w:r>
      <w:r w:rsidRPr="00685BAB">
        <w:rPr>
          <w:rFonts w:ascii="Times New Roman" w:hAnsi="Times New Roman" w:cs="Times New Roman"/>
          <w:sz w:val="24"/>
          <w:lang w:val="pt-BR"/>
        </w:rPr>
        <w:t xml:space="preserve"> - Demonstrações Contábeis Individuais, Demonstrações Separadas, Demonstrações Consolidadas e Aplicação do Método de Equivalência Patrimonial.</w:t>
      </w:r>
    </w:p>
    <w:p w:rsidR="00677FDC" w:rsidRDefault="00677FDC" w:rsidP="00B4047D">
      <w:pPr>
        <w:pStyle w:val="Textoembloco"/>
        <w:spacing w:before="0" w:after="0" w:line="240" w:lineRule="auto"/>
        <w:ind w:left="567" w:firstLine="0"/>
        <w:jc w:val="both"/>
        <w:rPr>
          <w:rFonts w:ascii="Times New Roman" w:hAnsi="Times New Roman"/>
          <w:sz w:val="24"/>
          <w:lang w:val="pt-BR"/>
        </w:rPr>
      </w:pPr>
    </w:p>
    <w:p w:rsidR="0022233F" w:rsidRPr="00306D90" w:rsidRDefault="0022233F" w:rsidP="00306D90">
      <w:pPr>
        <w:pStyle w:val="Textoembloco"/>
        <w:numPr>
          <w:ilvl w:val="0"/>
          <w:numId w:val="1"/>
        </w:numPr>
        <w:spacing w:before="0" w:after="0"/>
        <w:jc w:val="both"/>
        <w:rPr>
          <w:rFonts w:ascii="Times New Roman" w:hAnsi="Times New Roman" w:cs="Times New Roman"/>
          <w:color w:val="000000"/>
          <w:sz w:val="24"/>
          <w:lang w:val="pt-BR"/>
        </w:rPr>
      </w:pPr>
      <w:r>
        <w:rPr>
          <w:rFonts w:ascii="Times New Roman" w:hAnsi="Times New Roman" w:cs="Times New Roman"/>
          <w:color w:val="000000"/>
          <w:sz w:val="24"/>
          <w:lang w:val="pt-BR"/>
        </w:rPr>
        <w:t>No caso de o patrimônio líquido da coligada se tornar negativo, o prejuízo só é reconhecido pela investidora na extensão em que a investidora se responsabilize, legalmente ou por obrigação não formalizada, em fazer pagamentos a terceiros por conta da coligada. No caso dessa situação em controlada, a controladora reconhece, em seu balanço individual, provisão por conta desse patrimônio l</w:t>
      </w:r>
      <w:r w:rsidR="00CF5B72">
        <w:rPr>
          <w:rFonts w:ascii="Times New Roman" w:hAnsi="Times New Roman" w:cs="Times New Roman"/>
          <w:color w:val="000000"/>
          <w:sz w:val="24"/>
          <w:lang w:val="pt-BR"/>
        </w:rPr>
        <w:t>íquido negativo de forma a ter o mesmo resultado líquido e o mesmo patrimônio líquido que forem apresentados pelas demonstrações consolidadas.</w:t>
      </w:r>
    </w:p>
    <w:p w:rsidR="00C36F97" w:rsidRPr="009F47BC" w:rsidRDefault="00C36F97" w:rsidP="00C36F97">
      <w:pPr>
        <w:pStyle w:val="Textoembloco"/>
        <w:spacing w:before="0" w:after="0"/>
        <w:ind w:left="0" w:firstLine="0"/>
        <w:jc w:val="both"/>
        <w:rPr>
          <w:rFonts w:ascii="Times New Roman" w:hAnsi="Times New Roman" w:cs="Times New Roman"/>
          <w:color w:val="000000"/>
          <w:sz w:val="24"/>
          <w:lang w:val="pt-BR"/>
        </w:rPr>
      </w:pPr>
    </w:p>
    <w:p w:rsidR="00C36F97" w:rsidRPr="009D365E" w:rsidRDefault="00C36F97" w:rsidP="00C36F97">
      <w:pPr>
        <w:pStyle w:val="Textoembloco"/>
        <w:numPr>
          <w:ilvl w:val="0"/>
          <w:numId w:val="1"/>
        </w:numPr>
        <w:spacing w:before="0" w:after="0"/>
        <w:jc w:val="both"/>
        <w:rPr>
          <w:rFonts w:ascii="Times New Roman" w:hAnsi="Times New Roman" w:cs="Times New Roman"/>
          <w:color w:val="000000"/>
          <w:sz w:val="24"/>
          <w:lang w:val="pt-BR"/>
        </w:rPr>
      </w:pPr>
      <w:r>
        <w:rPr>
          <w:rFonts w:ascii="Times New Roman" w:hAnsi="Times New Roman" w:cs="Times New Roman"/>
          <w:color w:val="000000"/>
          <w:sz w:val="24"/>
          <w:lang w:val="pt-BR"/>
        </w:rPr>
        <w:t>A</w:t>
      </w:r>
      <w:r w:rsidRPr="00D94060">
        <w:rPr>
          <w:rFonts w:ascii="Times New Roman" w:hAnsi="Times New Roman" w:cs="Times New Roman"/>
          <w:color w:val="000000"/>
          <w:sz w:val="24"/>
          <w:lang w:val="pt-BR"/>
        </w:rPr>
        <w:t xml:space="preserve"> defasagem máxima entre as datas de encerramento das demonstrações da coligada e do investidor</w:t>
      </w:r>
      <w:r>
        <w:rPr>
          <w:rFonts w:ascii="Times New Roman" w:hAnsi="Times New Roman" w:cs="Times New Roman"/>
          <w:color w:val="000000"/>
          <w:sz w:val="24"/>
          <w:lang w:val="pt-BR"/>
        </w:rPr>
        <w:t xml:space="preserve"> não deve ser superior a</w:t>
      </w:r>
      <w:r w:rsidRPr="00D94060">
        <w:rPr>
          <w:rFonts w:ascii="Times New Roman" w:hAnsi="Times New Roman" w:cs="Times New Roman"/>
          <w:color w:val="000000"/>
          <w:sz w:val="24"/>
          <w:lang w:val="pt-BR"/>
        </w:rPr>
        <w:t xml:space="preserve"> </w:t>
      </w:r>
      <w:r>
        <w:rPr>
          <w:rFonts w:ascii="Times New Roman" w:hAnsi="Times New Roman" w:cs="Times New Roman"/>
          <w:color w:val="000000"/>
          <w:sz w:val="24"/>
          <w:lang w:val="pt-BR"/>
        </w:rPr>
        <w:t>dois</w:t>
      </w:r>
      <w:r w:rsidRPr="00D94060">
        <w:rPr>
          <w:rFonts w:ascii="Times New Roman" w:hAnsi="Times New Roman" w:cs="Times New Roman"/>
          <w:color w:val="000000"/>
          <w:sz w:val="24"/>
          <w:lang w:val="pt-BR"/>
        </w:rPr>
        <w:t xml:space="preserve"> meses</w:t>
      </w:r>
      <w:r w:rsidR="006969AD">
        <w:rPr>
          <w:rFonts w:ascii="Times New Roman" w:hAnsi="Times New Roman" w:cs="Times New Roman"/>
          <w:color w:val="000000"/>
          <w:sz w:val="24"/>
          <w:lang w:val="pt-BR"/>
        </w:rPr>
        <w:t xml:space="preserve">, e devem </w:t>
      </w:r>
      <w:r>
        <w:rPr>
          <w:rFonts w:ascii="Times New Roman" w:hAnsi="Times New Roman" w:cs="Times New Roman"/>
          <w:color w:val="000000"/>
          <w:sz w:val="24"/>
          <w:lang w:val="pt-BR"/>
        </w:rPr>
        <w:t>ser considerados os efeitos de transações relevantes nesse período.</w:t>
      </w:r>
    </w:p>
    <w:p w:rsidR="00C36F97" w:rsidRPr="009003C9" w:rsidRDefault="00C36F97" w:rsidP="00C36F97">
      <w:pPr>
        <w:pStyle w:val="Textoembloco"/>
        <w:spacing w:before="0" w:after="0"/>
        <w:ind w:left="567" w:firstLine="0"/>
        <w:jc w:val="both"/>
        <w:rPr>
          <w:rFonts w:ascii="Times New Roman" w:hAnsi="Times New Roman" w:cs="Times New Roman"/>
          <w:color w:val="000000"/>
          <w:sz w:val="24"/>
          <w:lang w:val="pt-BR"/>
        </w:rPr>
      </w:pPr>
    </w:p>
    <w:p w:rsidR="00CF5B72" w:rsidRPr="00CF5B72" w:rsidRDefault="00C36F97" w:rsidP="00CF5B72">
      <w:pPr>
        <w:pStyle w:val="Textoembloco"/>
        <w:numPr>
          <w:ilvl w:val="0"/>
          <w:numId w:val="1"/>
        </w:numPr>
        <w:spacing w:before="0" w:after="0"/>
        <w:jc w:val="both"/>
        <w:rPr>
          <w:rFonts w:ascii="Times New Roman" w:hAnsi="Times New Roman" w:cs="Times New Roman"/>
          <w:color w:val="000000"/>
          <w:sz w:val="24"/>
          <w:lang w:val="pt-BR"/>
        </w:rPr>
      </w:pPr>
      <w:r>
        <w:rPr>
          <w:rFonts w:ascii="Times New Roman" w:hAnsi="Times New Roman" w:cs="Times New Roman"/>
          <w:color w:val="000000"/>
          <w:sz w:val="24"/>
          <w:lang w:val="pt-BR"/>
        </w:rPr>
        <w:t xml:space="preserve">O Pronunciamento </w:t>
      </w:r>
      <w:r w:rsidR="00677FDC">
        <w:rPr>
          <w:rFonts w:ascii="Times New Roman" w:hAnsi="Times New Roman" w:cs="Times New Roman"/>
          <w:color w:val="000000"/>
          <w:sz w:val="24"/>
          <w:lang w:val="pt-BR"/>
        </w:rPr>
        <w:t>requer</w:t>
      </w:r>
      <w:r>
        <w:rPr>
          <w:rFonts w:ascii="Times New Roman" w:hAnsi="Times New Roman" w:cs="Times New Roman"/>
          <w:color w:val="000000"/>
          <w:sz w:val="24"/>
          <w:lang w:val="pt-BR"/>
        </w:rPr>
        <w:t xml:space="preserve"> que o investidor faça os ajustes necessários nas demonstrações contábeis de suas coligadas para manter a conformidade de políticas contábeis para transações e o</w:t>
      </w:r>
      <w:r w:rsidR="00CF5B72">
        <w:rPr>
          <w:rFonts w:ascii="Times New Roman" w:hAnsi="Times New Roman" w:cs="Times New Roman"/>
          <w:color w:val="000000"/>
          <w:sz w:val="24"/>
          <w:lang w:val="pt-BR"/>
        </w:rPr>
        <w:t>utros eventos de mesma natureza.</w:t>
      </w:r>
    </w:p>
    <w:p w:rsidR="00CF5B72" w:rsidRPr="00CF5B72" w:rsidRDefault="00CF5B72" w:rsidP="00CF5B72">
      <w:pPr>
        <w:pStyle w:val="Textoembloco"/>
        <w:spacing w:before="0" w:after="0"/>
        <w:ind w:left="567" w:firstLine="0"/>
        <w:jc w:val="both"/>
        <w:rPr>
          <w:rFonts w:ascii="Times New Roman" w:hAnsi="Times New Roman" w:cs="Times New Roman"/>
          <w:color w:val="000000"/>
          <w:sz w:val="24"/>
          <w:lang w:val="pt-BR"/>
        </w:rPr>
      </w:pPr>
    </w:p>
    <w:p w:rsidR="00CF5B72" w:rsidRDefault="00CF5B72" w:rsidP="00C36F97">
      <w:pPr>
        <w:pStyle w:val="Textoembloco"/>
        <w:numPr>
          <w:ilvl w:val="0"/>
          <w:numId w:val="1"/>
        </w:numPr>
        <w:spacing w:before="0" w:after="0"/>
        <w:jc w:val="both"/>
        <w:rPr>
          <w:rFonts w:ascii="Times New Roman" w:hAnsi="Times New Roman" w:cs="Times New Roman"/>
          <w:color w:val="000000"/>
          <w:sz w:val="24"/>
          <w:lang w:val="pt-BR"/>
        </w:rPr>
      </w:pPr>
      <w:r>
        <w:rPr>
          <w:rFonts w:ascii="Times New Roman" w:hAnsi="Times New Roman" w:cs="Times New Roman"/>
          <w:color w:val="000000"/>
          <w:sz w:val="24"/>
          <w:lang w:val="pt-BR"/>
        </w:rPr>
        <w:t>Divulgações específicas são exigidas pelo Pronunciamento.</w:t>
      </w:r>
    </w:p>
    <w:p w:rsidR="00C36F97" w:rsidRPr="00C83F48" w:rsidRDefault="00C36F97" w:rsidP="00C36F97">
      <w:pPr>
        <w:pStyle w:val="Textoembloco"/>
        <w:spacing w:before="0" w:after="0"/>
        <w:ind w:left="567" w:firstLine="0"/>
        <w:jc w:val="both"/>
        <w:rPr>
          <w:rFonts w:ascii="Times New Roman" w:hAnsi="Times New Roman" w:cs="Times New Roman"/>
          <w:color w:val="000000"/>
          <w:sz w:val="24"/>
          <w:lang w:val="pt-BR"/>
        </w:rPr>
      </w:pPr>
    </w:p>
    <w:p w:rsidR="00C36F97" w:rsidRDefault="00C36F97" w:rsidP="00C36F97">
      <w:pPr>
        <w:pStyle w:val="Textoembloco"/>
        <w:numPr>
          <w:ilvl w:val="0"/>
          <w:numId w:val="1"/>
        </w:numPr>
        <w:spacing w:before="0" w:after="0"/>
        <w:jc w:val="both"/>
        <w:rPr>
          <w:rFonts w:ascii="Times New Roman" w:hAnsi="Times New Roman" w:cs="Times New Roman"/>
          <w:color w:val="000000"/>
          <w:sz w:val="24"/>
          <w:lang w:val="pt-BR"/>
        </w:rPr>
      </w:pPr>
      <w:r>
        <w:rPr>
          <w:rFonts w:ascii="Times New Roman" w:hAnsi="Times New Roman" w:cs="Times New Roman"/>
          <w:color w:val="000000"/>
          <w:sz w:val="24"/>
          <w:lang w:val="pt-BR"/>
        </w:rPr>
        <w:t>A investidora pode também preparar demonstrações separadas para esses investimentos</w:t>
      </w:r>
      <w:r w:rsidR="0022233F">
        <w:rPr>
          <w:rFonts w:ascii="Times New Roman" w:hAnsi="Times New Roman" w:cs="Times New Roman"/>
          <w:color w:val="000000"/>
          <w:sz w:val="24"/>
          <w:lang w:val="pt-BR"/>
        </w:rPr>
        <w:t xml:space="preserve">, </w:t>
      </w:r>
      <w:r w:rsidR="006969AD">
        <w:rPr>
          <w:rFonts w:ascii="Times New Roman" w:hAnsi="Times New Roman" w:cs="Times New Roman"/>
          <w:color w:val="000000"/>
          <w:sz w:val="24"/>
          <w:lang w:val="pt-BR"/>
        </w:rPr>
        <w:t>os quais</w:t>
      </w:r>
      <w:r w:rsidR="0022233F">
        <w:rPr>
          <w:rFonts w:ascii="Times New Roman" w:hAnsi="Times New Roman" w:cs="Times New Roman"/>
          <w:color w:val="000000"/>
          <w:sz w:val="24"/>
          <w:lang w:val="pt-BR"/>
        </w:rPr>
        <w:t xml:space="preserve"> são avaliados por valor justo ou, se for o caso, pelo custo, nunca pela equivalência patrimonial</w:t>
      </w:r>
      <w:r>
        <w:rPr>
          <w:rFonts w:ascii="Times New Roman" w:hAnsi="Times New Roman" w:cs="Times New Roman"/>
          <w:color w:val="000000"/>
          <w:sz w:val="24"/>
          <w:lang w:val="pt-BR"/>
        </w:rPr>
        <w:t xml:space="preserve">. As exigências para a preparação das demonstrações separadas de um investidor em coligadas são aquelas estabelecidas pelo </w:t>
      </w:r>
      <w:r w:rsidRPr="009D2AFB">
        <w:rPr>
          <w:rFonts w:ascii="Times New Roman" w:hAnsi="Times New Roman" w:cs="Times New Roman"/>
          <w:color w:val="000000"/>
          <w:sz w:val="24"/>
          <w:lang w:val="pt-BR"/>
        </w:rPr>
        <w:t>Pronunciamento Técnico CPC</w:t>
      </w:r>
      <w:r>
        <w:rPr>
          <w:rFonts w:ascii="Times New Roman" w:hAnsi="Times New Roman" w:cs="Times New Roman"/>
          <w:color w:val="000000"/>
          <w:sz w:val="24"/>
          <w:lang w:val="pt-BR"/>
        </w:rPr>
        <w:t xml:space="preserve"> 35 - </w:t>
      </w:r>
      <w:r w:rsidRPr="00EF7EEF">
        <w:rPr>
          <w:rFonts w:ascii="Times New Roman" w:hAnsi="Times New Roman" w:cs="Times New Roman"/>
          <w:color w:val="000000"/>
          <w:sz w:val="24"/>
          <w:lang w:val="pt-BR"/>
        </w:rPr>
        <w:t xml:space="preserve">Demonstrações </w:t>
      </w:r>
      <w:r>
        <w:rPr>
          <w:rFonts w:ascii="Times New Roman" w:hAnsi="Times New Roman" w:cs="Times New Roman"/>
          <w:color w:val="000000"/>
          <w:sz w:val="24"/>
          <w:lang w:val="pt-BR"/>
        </w:rPr>
        <w:t>Separad</w:t>
      </w:r>
      <w:r w:rsidRPr="00EF7EEF">
        <w:rPr>
          <w:rFonts w:ascii="Times New Roman" w:hAnsi="Times New Roman" w:cs="Times New Roman"/>
          <w:color w:val="000000"/>
          <w:sz w:val="24"/>
          <w:lang w:val="pt-BR"/>
        </w:rPr>
        <w:t>as</w:t>
      </w:r>
      <w:r>
        <w:rPr>
          <w:rFonts w:ascii="Times New Roman" w:hAnsi="Times New Roman" w:cs="Times New Roman"/>
          <w:color w:val="000000"/>
          <w:sz w:val="24"/>
          <w:lang w:val="pt-BR"/>
        </w:rPr>
        <w:t>.</w:t>
      </w:r>
    </w:p>
    <w:p w:rsidR="00C36F97" w:rsidRDefault="00C36F97" w:rsidP="00C36F97">
      <w:pPr>
        <w:pStyle w:val="Textoembloco"/>
        <w:spacing w:before="0" w:after="0"/>
        <w:ind w:left="0" w:firstLine="0"/>
        <w:jc w:val="both"/>
        <w:rPr>
          <w:rFonts w:ascii="Times New Roman" w:hAnsi="Times New Roman" w:cs="Times New Roman"/>
          <w:color w:val="000000"/>
          <w:sz w:val="24"/>
          <w:lang w:val="pt-BR"/>
        </w:rPr>
      </w:pPr>
    </w:p>
    <w:p w:rsidR="00C36F97" w:rsidRPr="00CF5B72" w:rsidRDefault="00C36F97" w:rsidP="00CF5B72">
      <w:pPr>
        <w:pStyle w:val="Textoembloco"/>
        <w:numPr>
          <w:ilvl w:val="0"/>
          <w:numId w:val="1"/>
        </w:numPr>
        <w:spacing w:before="0" w:after="0"/>
        <w:jc w:val="both"/>
        <w:rPr>
          <w:rFonts w:ascii="Times New Roman" w:hAnsi="Times New Roman" w:cs="Times New Roman"/>
          <w:color w:val="000000"/>
          <w:sz w:val="24"/>
          <w:lang w:val="pt-BR"/>
        </w:rPr>
      </w:pPr>
      <w:r w:rsidRPr="00CF5B72">
        <w:rPr>
          <w:rFonts w:ascii="Times New Roman" w:hAnsi="Times New Roman" w:cs="Times New Roman"/>
          <w:color w:val="000000"/>
          <w:sz w:val="24"/>
          <w:lang w:val="pt-BR"/>
        </w:rPr>
        <w:t xml:space="preserve">A </w:t>
      </w:r>
      <w:r w:rsidR="0022233F" w:rsidRPr="00CF5B72">
        <w:rPr>
          <w:rFonts w:ascii="Times New Roman" w:hAnsi="Times New Roman" w:cs="Times New Roman"/>
          <w:color w:val="000000"/>
          <w:sz w:val="24"/>
          <w:lang w:val="pt-BR"/>
        </w:rPr>
        <w:t>Interpretação Técnica CPC 09</w:t>
      </w:r>
      <w:r w:rsidR="007C3A32">
        <w:rPr>
          <w:rFonts w:ascii="Times New Roman" w:hAnsi="Times New Roman" w:cs="Times New Roman"/>
          <w:color w:val="000000"/>
          <w:sz w:val="24"/>
          <w:lang w:val="pt-BR"/>
        </w:rPr>
        <w:t xml:space="preserve"> (R1)</w:t>
      </w:r>
      <w:r w:rsidR="0022233F" w:rsidRPr="00CF5B72">
        <w:rPr>
          <w:rFonts w:ascii="Times New Roman" w:hAnsi="Times New Roman" w:cs="Times New Roman"/>
          <w:color w:val="000000"/>
          <w:sz w:val="24"/>
          <w:lang w:val="pt-BR"/>
        </w:rPr>
        <w:t xml:space="preserve"> - Demonstrações Contábeis Individuais, Demonstrações Separadas, Demonstrações Consolidadas e Aplicação do Método de Equivalência Patrimonial </w:t>
      </w:r>
      <w:r w:rsidRPr="00CF5B72">
        <w:rPr>
          <w:rFonts w:ascii="Times New Roman" w:hAnsi="Times New Roman" w:cs="Times New Roman"/>
          <w:color w:val="000000"/>
          <w:sz w:val="24"/>
          <w:lang w:val="pt-BR"/>
        </w:rPr>
        <w:t>traz mais detalhes sobre investimentos em coligadas</w:t>
      </w:r>
      <w:r w:rsidR="0022233F" w:rsidRPr="00CF5B72">
        <w:rPr>
          <w:rFonts w:ascii="Times New Roman" w:hAnsi="Times New Roman" w:cs="Times New Roman"/>
          <w:color w:val="000000"/>
          <w:sz w:val="24"/>
          <w:lang w:val="pt-BR"/>
        </w:rPr>
        <w:t xml:space="preserve">, </w:t>
      </w:r>
      <w:r w:rsidRPr="00CF5B72">
        <w:rPr>
          <w:rFonts w:ascii="Times New Roman" w:hAnsi="Times New Roman" w:cs="Times New Roman"/>
          <w:color w:val="000000"/>
          <w:sz w:val="24"/>
          <w:lang w:val="pt-BR"/>
        </w:rPr>
        <w:t xml:space="preserve">em controladas </w:t>
      </w:r>
      <w:r w:rsidR="0022233F" w:rsidRPr="00CF5B72">
        <w:rPr>
          <w:rFonts w:ascii="Times New Roman" w:hAnsi="Times New Roman" w:cs="Times New Roman"/>
          <w:color w:val="000000"/>
          <w:sz w:val="24"/>
          <w:lang w:val="pt-BR"/>
        </w:rPr>
        <w:t xml:space="preserve">e também em entidades controladas em </w:t>
      </w:r>
      <w:r w:rsidRPr="00CF5B72">
        <w:rPr>
          <w:rFonts w:ascii="Times New Roman" w:hAnsi="Times New Roman" w:cs="Times New Roman"/>
          <w:color w:val="000000"/>
          <w:sz w:val="24"/>
          <w:lang w:val="pt-BR"/>
        </w:rPr>
        <w:t>conjunto (</w:t>
      </w:r>
      <w:r w:rsidRPr="006969AD">
        <w:rPr>
          <w:rFonts w:ascii="Times New Roman" w:hAnsi="Times New Roman" w:cs="Times New Roman"/>
          <w:i/>
          <w:color w:val="000000"/>
          <w:sz w:val="24"/>
          <w:lang w:val="pt-BR"/>
        </w:rPr>
        <w:t>joint ventures</w:t>
      </w:r>
      <w:r w:rsidRPr="00CF5B72">
        <w:rPr>
          <w:rFonts w:ascii="Times New Roman" w:hAnsi="Times New Roman" w:cs="Times New Roman"/>
          <w:color w:val="000000"/>
          <w:sz w:val="24"/>
          <w:lang w:val="pt-BR"/>
        </w:rPr>
        <w:t>), bem como sobre demonstrações separadas e demonstrações consolidadas.</w:t>
      </w:r>
    </w:p>
    <w:p w:rsidR="00C36F97" w:rsidRDefault="00C36F97" w:rsidP="00C36F97">
      <w:pPr>
        <w:pStyle w:val="Textoembloco"/>
        <w:spacing w:before="0" w:after="0"/>
        <w:ind w:left="0" w:firstLine="0"/>
        <w:rPr>
          <w:rFonts w:ascii="Times New Roman" w:hAnsi="Times New Roman" w:cs="Times New Roman"/>
          <w:color w:val="000000"/>
          <w:sz w:val="24"/>
          <w:lang w:val="pt-BR"/>
        </w:rPr>
      </w:pPr>
    </w:p>
    <w:p w:rsidR="00C36F97" w:rsidRDefault="00C36F97" w:rsidP="00C36F97">
      <w:pPr>
        <w:pStyle w:val="Textoembloco"/>
        <w:spacing w:before="0" w:after="0"/>
        <w:ind w:left="0" w:firstLine="0"/>
        <w:rPr>
          <w:rFonts w:ascii="Times New Roman" w:hAnsi="Times New Roman" w:cs="Times New Roman"/>
          <w:color w:val="000000"/>
          <w:sz w:val="24"/>
          <w:lang w:val="pt-BR"/>
        </w:rPr>
      </w:pPr>
    </w:p>
    <w:sectPr w:rsidR="00C36F97" w:rsidSect="00B4047D">
      <w:headerReference w:type="default" r:id="rId7"/>
      <w:footerReference w:type="even" r:id="rId8"/>
      <w:footerReference w:type="default" r:id="rId9"/>
      <w:headerReference w:type="first" r:id="rId10"/>
      <w:pgSz w:w="12240" w:h="15840"/>
      <w:pgMar w:top="1440" w:right="1800" w:bottom="1276"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345" w:rsidRDefault="00651345">
      <w:r>
        <w:separator/>
      </w:r>
    </w:p>
  </w:endnote>
  <w:endnote w:type="continuationSeparator" w:id="0">
    <w:p w:rsidR="00651345" w:rsidRDefault="00651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F97" w:rsidRDefault="00C36F97" w:rsidP="00C36F9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36F97" w:rsidRDefault="00C36F97" w:rsidP="00C36F9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F97" w:rsidRDefault="00C36F97" w:rsidP="00C36F9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30528">
      <w:rPr>
        <w:rStyle w:val="Nmerodepgina"/>
        <w:noProof/>
      </w:rPr>
      <w:t>4</w:t>
    </w:r>
    <w:r>
      <w:rPr>
        <w:rStyle w:val="Nmerodepgina"/>
      </w:rPr>
      <w:fldChar w:fldCharType="end"/>
    </w:r>
  </w:p>
  <w:p w:rsidR="00C36F97" w:rsidRDefault="00C36F97" w:rsidP="00C36F97">
    <w:pPr>
      <w:pStyle w:val="Rodap"/>
      <w:spacing w:before="0" w:after="0"/>
      <w:jc w:val="right"/>
      <w:rPr>
        <w:i/>
        <w:sz w:val="16"/>
        <w:szCs w:val="16"/>
      </w:rPr>
    </w:pPr>
    <w:r w:rsidRPr="00742979">
      <w:tab/>
    </w:r>
    <w:r w:rsidRPr="00742979">
      <w:tab/>
    </w:r>
  </w:p>
  <w:p w:rsidR="00C36F97" w:rsidRDefault="00C36F97" w:rsidP="00C36F9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345" w:rsidRDefault="00651345">
      <w:r>
        <w:separator/>
      </w:r>
    </w:p>
  </w:footnote>
  <w:footnote w:type="continuationSeparator" w:id="0">
    <w:p w:rsidR="00651345" w:rsidRDefault="00651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F97" w:rsidRDefault="00A30528" w:rsidP="00C36F97">
    <w:pPr>
      <w:pStyle w:val="Cabealho"/>
      <w:jc w:val="center"/>
    </w:pPr>
    <w:r>
      <w:rPr>
        <w:noProof/>
        <w:lang w:val="pt-BR"/>
      </w:rPr>
      <w:drawing>
        <wp:inline distT="0" distB="0" distL="0" distR="0">
          <wp:extent cx="1021080" cy="647700"/>
          <wp:effectExtent l="19050" t="0" r="7620" b="0"/>
          <wp:docPr id="2" name="Imagem 2" descr="logo_c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pc"/>
                  <pic:cNvPicPr>
                    <a:picLocks noChangeAspect="1" noChangeArrowheads="1"/>
                  </pic:cNvPicPr>
                </pic:nvPicPr>
                <pic:blipFill>
                  <a:blip r:embed="rId1"/>
                  <a:srcRect/>
                  <a:stretch>
                    <a:fillRect/>
                  </a:stretch>
                </pic:blipFill>
                <pic:spPr bwMode="auto">
                  <a:xfrm>
                    <a:off x="0" y="0"/>
                    <a:ext cx="1021080" cy="6477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F97" w:rsidRDefault="00A30528" w:rsidP="00C36F97">
    <w:pPr>
      <w:pStyle w:val="Cabealho"/>
      <w:jc w:val="center"/>
    </w:pPr>
    <w:r>
      <w:rPr>
        <w:noProof/>
        <w:lang w:val="pt-BR"/>
      </w:rPr>
      <w:drawing>
        <wp:inline distT="0" distB="0" distL="0" distR="0">
          <wp:extent cx="1021080" cy="647700"/>
          <wp:effectExtent l="19050" t="0" r="7620" b="0"/>
          <wp:docPr id="1" name="Imagem 1" descr="logo_c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pc"/>
                  <pic:cNvPicPr>
                    <a:picLocks noChangeAspect="1" noChangeArrowheads="1"/>
                  </pic:cNvPicPr>
                </pic:nvPicPr>
                <pic:blipFill>
                  <a:blip r:embed="rId1"/>
                  <a:srcRect/>
                  <a:stretch>
                    <a:fillRect/>
                  </a:stretch>
                </pic:blipFill>
                <pic:spPr bwMode="auto">
                  <a:xfrm>
                    <a:off x="0" y="0"/>
                    <a:ext cx="1021080" cy="6477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21C1"/>
    <w:multiLevelType w:val="hybridMultilevel"/>
    <w:tmpl w:val="5172E480"/>
    <w:lvl w:ilvl="0" w:tplc="3E78DBBA">
      <w:start w:val="1"/>
      <w:numFmt w:val="lowerRoman"/>
      <w:lvlText w:val="(%1)"/>
      <w:lvlJc w:val="left"/>
      <w:pPr>
        <w:tabs>
          <w:tab w:val="num" w:pos="1797"/>
        </w:tabs>
        <w:ind w:left="1797" w:hanging="720"/>
      </w:pPr>
      <w:rPr>
        <w:rFonts w:hint="default"/>
        <w:b w:val="0"/>
        <w:i/>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BB0C2D"/>
    <w:multiLevelType w:val="hybridMultilevel"/>
    <w:tmpl w:val="43FED82C"/>
    <w:lvl w:ilvl="0" w:tplc="61789CEA">
      <w:start w:val="1"/>
      <w:numFmt w:val="lowerRoman"/>
      <w:lvlText w:val="(%1)"/>
      <w:lvlJc w:val="left"/>
      <w:pPr>
        <w:tabs>
          <w:tab w:val="num" w:pos="78"/>
        </w:tabs>
        <w:ind w:left="78" w:hanging="720"/>
      </w:pPr>
      <w:rPr>
        <w:rFonts w:hint="default"/>
        <w:b w:val="0"/>
        <w:i/>
      </w:rPr>
    </w:lvl>
    <w:lvl w:ilvl="1" w:tplc="04160019" w:tentative="1">
      <w:start w:val="1"/>
      <w:numFmt w:val="lowerLetter"/>
      <w:lvlText w:val="%2."/>
      <w:lvlJc w:val="left"/>
      <w:pPr>
        <w:tabs>
          <w:tab w:val="num" w:pos="-279"/>
        </w:tabs>
        <w:ind w:left="-279" w:hanging="360"/>
      </w:pPr>
    </w:lvl>
    <w:lvl w:ilvl="2" w:tplc="0416001B" w:tentative="1">
      <w:start w:val="1"/>
      <w:numFmt w:val="lowerRoman"/>
      <w:lvlText w:val="%3."/>
      <w:lvlJc w:val="right"/>
      <w:pPr>
        <w:tabs>
          <w:tab w:val="num" w:pos="441"/>
        </w:tabs>
        <w:ind w:left="441" w:hanging="180"/>
      </w:pPr>
    </w:lvl>
    <w:lvl w:ilvl="3" w:tplc="0416000F" w:tentative="1">
      <w:start w:val="1"/>
      <w:numFmt w:val="decimal"/>
      <w:lvlText w:val="%4."/>
      <w:lvlJc w:val="left"/>
      <w:pPr>
        <w:tabs>
          <w:tab w:val="num" w:pos="1161"/>
        </w:tabs>
        <w:ind w:left="1161" w:hanging="360"/>
      </w:pPr>
    </w:lvl>
    <w:lvl w:ilvl="4" w:tplc="04160019" w:tentative="1">
      <w:start w:val="1"/>
      <w:numFmt w:val="lowerLetter"/>
      <w:lvlText w:val="%5."/>
      <w:lvlJc w:val="left"/>
      <w:pPr>
        <w:tabs>
          <w:tab w:val="num" w:pos="1881"/>
        </w:tabs>
        <w:ind w:left="1881" w:hanging="360"/>
      </w:pPr>
    </w:lvl>
    <w:lvl w:ilvl="5" w:tplc="0416001B" w:tentative="1">
      <w:start w:val="1"/>
      <w:numFmt w:val="lowerRoman"/>
      <w:lvlText w:val="%6."/>
      <w:lvlJc w:val="right"/>
      <w:pPr>
        <w:tabs>
          <w:tab w:val="num" w:pos="2601"/>
        </w:tabs>
        <w:ind w:left="2601" w:hanging="180"/>
      </w:pPr>
    </w:lvl>
    <w:lvl w:ilvl="6" w:tplc="0416000F" w:tentative="1">
      <w:start w:val="1"/>
      <w:numFmt w:val="decimal"/>
      <w:lvlText w:val="%7."/>
      <w:lvlJc w:val="left"/>
      <w:pPr>
        <w:tabs>
          <w:tab w:val="num" w:pos="3321"/>
        </w:tabs>
        <w:ind w:left="3321" w:hanging="360"/>
      </w:pPr>
    </w:lvl>
    <w:lvl w:ilvl="7" w:tplc="04160019" w:tentative="1">
      <w:start w:val="1"/>
      <w:numFmt w:val="lowerLetter"/>
      <w:lvlText w:val="%8."/>
      <w:lvlJc w:val="left"/>
      <w:pPr>
        <w:tabs>
          <w:tab w:val="num" w:pos="4041"/>
        </w:tabs>
        <w:ind w:left="4041" w:hanging="360"/>
      </w:pPr>
    </w:lvl>
    <w:lvl w:ilvl="8" w:tplc="0416001B" w:tentative="1">
      <w:start w:val="1"/>
      <w:numFmt w:val="lowerRoman"/>
      <w:lvlText w:val="%9."/>
      <w:lvlJc w:val="right"/>
      <w:pPr>
        <w:tabs>
          <w:tab w:val="num" w:pos="4761"/>
        </w:tabs>
        <w:ind w:left="4761" w:hanging="180"/>
      </w:pPr>
    </w:lvl>
  </w:abstractNum>
  <w:abstractNum w:abstractNumId="2">
    <w:nsid w:val="0B127276"/>
    <w:multiLevelType w:val="hybridMultilevel"/>
    <w:tmpl w:val="B492C6DC"/>
    <w:lvl w:ilvl="0" w:tplc="B56A171C">
      <w:start w:val="201"/>
      <w:numFmt w:val="decimal"/>
      <w:lvlText w:val="F%1."/>
      <w:lvlJc w:val="left"/>
      <w:pPr>
        <w:tabs>
          <w:tab w:val="num" w:pos="726"/>
        </w:tabs>
        <w:ind w:left="726" w:hanging="54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23D7237"/>
    <w:multiLevelType w:val="hybridMultilevel"/>
    <w:tmpl w:val="EBD86A80"/>
    <w:lvl w:ilvl="0" w:tplc="98BA819C">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93417E7"/>
    <w:multiLevelType w:val="hybridMultilevel"/>
    <w:tmpl w:val="3904B09C"/>
    <w:lvl w:ilvl="0" w:tplc="98BA819C">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C702F71"/>
    <w:multiLevelType w:val="hybridMultilevel"/>
    <w:tmpl w:val="A272791E"/>
    <w:lvl w:ilvl="0" w:tplc="98BA819C">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CBD2DBB"/>
    <w:multiLevelType w:val="hybridMultilevel"/>
    <w:tmpl w:val="744E3092"/>
    <w:lvl w:ilvl="0" w:tplc="8DB4B552">
      <w:start w:val="1"/>
      <w:numFmt w:val="decimal"/>
      <w:lvlText w:val="B%1."/>
      <w:lvlJc w:val="left"/>
      <w:pPr>
        <w:tabs>
          <w:tab w:val="num" w:pos="727"/>
        </w:tabs>
        <w:ind w:left="727" w:hanging="54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8">
    <w:nsid w:val="1E304655"/>
    <w:multiLevelType w:val="hybridMultilevel"/>
    <w:tmpl w:val="DD164DC8"/>
    <w:lvl w:ilvl="0" w:tplc="98BA819C">
      <w:start w:val="1"/>
      <w:numFmt w:val="lowerLetter"/>
      <w:lvlText w:val="(%1)"/>
      <w:lvlJc w:val="left"/>
      <w:pPr>
        <w:tabs>
          <w:tab w:val="num" w:pos="1080"/>
        </w:tabs>
        <w:ind w:left="1080" w:hanging="360"/>
      </w:pPr>
      <w:rPr>
        <w:rFonts w:hint="default"/>
        <w:b w:val="0"/>
        <w:i w:val="0"/>
      </w:rPr>
    </w:lvl>
    <w:lvl w:ilvl="1" w:tplc="1AB05A38">
      <w:start w:val="1"/>
      <w:numFmt w:val="lowerRoman"/>
      <w:lvlText w:val="(%2)"/>
      <w:lvlJc w:val="left"/>
      <w:pPr>
        <w:tabs>
          <w:tab w:val="num" w:pos="1800"/>
        </w:tabs>
        <w:ind w:left="1800" w:hanging="720"/>
      </w:pPr>
      <w:rPr>
        <w:rFonts w:hint="default"/>
        <w:b w:val="0"/>
        <w:i/>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091491"/>
    <w:multiLevelType w:val="hybridMultilevel"/>
    <w:tmpl w:val="8270960C"/>
    <w:lvl w:ilvl="0" w:tplc="3E78DBBA">
      <w:start w:val="1"/>
      <w:numFmt w:val="lowerRoman"/>
      <w:lvlText w:val="(%1)"/>
      <w:lvlJc w:val="left"/>
      <w:pPr>
        <w:tabs>
          <w:tab w:val="num" w:pos="1797"/>
        </w:tabs>
        <w:ind w:left="1797" w:hanging="720"/>
      </w:pPr>
      <w:rPr>
        <w:rFonts w:hint="default"/>
        <w:b w:val="0"/>
        <w:i/>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5DA48CC"/>
    <w:multiLevelType w:val="hybridMultilevel"/>
    <w:tmpl w:val="EFD8C986"/>
    <w:lvl w:ilvl="0" w:tplc="3E78DBBA">
      <w:start w:val="1"/>
      <w:numFmt w:val="lowerRoman"/>
      <w:lvlText w:val="(%1)"/>
      <w:lvlJc w:val="left"/>
      <w:pPr>
        <w:tabs>
          <w:tab w:val="num" w:pos="1797"/>
        </w:tabs>
        <w:ind w:left="1797" w:hanging="720"/>
      </w:pPr>
      <w:rPr>
        <w:rFonts w:hint="default"/>
        <w:b w:val="0"/>
        <w:i/>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9211649"/>
    <w:multiLevelType w:val="hybridMultilevel"/>
    <w:tmpl w:val="56320CA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D432048"/>
    <w:multiLevelType w:val="hybridMultilevel"/>
    <w:tmpl w:val="2168F7B0"/>
    <w:lvl w:ilvl="0" w:tplc="98BA819C">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1BB16B0"/>
    <w:multiLevelType w:val="hybridMultilevel"/>
    <w:tmpl w:val="46E2AED2"/>
    <w:lvl w:ilvl="0" w:tplc="98BA819C">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4781465"/>
    <w:multiLevelType w:val="hybridMultilevel"/>
    <w:tmpl w:val="E05E2222"/>
    <w:lvl w:ilvl="0" w:tplc="001ED362">
      <w:start w:val="1"/>
      <w:numFmt w:val="lowerRoman"/>
      <w:lvlText w:val="(%1)"/>
      <w:lvlJc w:val="left"/>
      <w:pPr>
        <w:tabs>
          <w:tab w:val="num" w:pos="1797"/>
        </w:tabs>
        <w:ind w:left="1797" w:hanging="720"/>
      </w:pPr>
      <w:rPr>
        <w:rFonts w:hint="default"/>
        <w:b w:val="0"/>
        <w:i/>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58A29FD"/>
    <w:multiLevelType w:val="hybridMultilevel"/>
    <w:tmpl w:val="00762C78"/>
    <w:lvl w:ilvl="0" w:tplc="98BA819C">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A17874"/>
    <w:multiLevelType w:val="hybridMultilevel"/>
    <w:tmpl w:val="808ACE4A"/>
    <w:lvl w:ilvl="0" w:tplc="98BA819C">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4E66DCD"/>
    <w:multiLevelType w:val="hybridMultilevel"/>
    <w:tmpl w:val="1F4E5AF2"/>
    <w:lvl w:ilvl="0" w:tplc="98BA819C">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5FA3B50"/>
    <w:multiLevelType w:val="hybridMultilevel"/>
    <w:tmpl w:val="4D2C1544"/>
    <w:lvl w:ilvl="0" w:tplc="98BA819C">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BD90752"/>
    <w:multiLevelType w:val="hybridMultilevel"/>
    <w:tmpl w:val="EA8E0526"/>
    <w:lvl w:ilvl="0" w:tplc="98BA819C">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E6A00FC"/>
    <w:multiLevelType w:val="multilevel"/>
    <w:tmpl w:val="C040D0BE"/>
    <w:lvl w:ilvl="0">
      <w:start w:val="1"/>
      <w:numFmt w:val="decimal"/>
      <w:lvlText w:val="D%1."/>
      <w:lvlJc w:val="left"/>
      <w:pPr>
        <w:tabs>
          <w:tab w:val="num" w:pos="726"/>
        </w:tabs>
        <w:ind w:left="726" w:hanging="5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4A15FC9"/>
    <w:multiLevelType w:val="hybridMultilevel"/>
    <w:tmpl w:val="ED044F8E"/>
    <w:lvl w:ilvl="0" w:tplc="208AB006">
      <w:start w:val="1"/>
      <w:numFmt w:val="lowerRoman"/>
      <w:lvlText w:val="(%1)"/>
      <w:lvlJc w:val="left"/>
      <w:pPr>
        <w:tabs>
          <w:tab w:val="num" w:pos="1797"/>
        </w:tabs>
        <w:ind w:left="1797" w:hanging="720"/>
      </w:pPr>
      <w:rPr>
        <w:rFonts w:hint="default"/>
        <w:b w:val="0"/>
        <w:i/>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8115300"/>
    <w:multiLevelType w:val="hybridMultilevel"/>
    <w:tmpl w:val="138AF684"/>
    <w:lvl w:ilvl="0" w:tplc="B2481400">
      <w:start w:val="1"/>
      <w:numFmt w:val="lowerRoman"/>
      <w:lvlText w:val="(%1)"/>
      <w:lvlJc w:val="left"/>
      <w:pPr>
        <w:tabs>
          <w:tab w:val="num" w:pos="1800"/>
        </w:tabs>
        <w:ind w:left="1800" w:hanging="720"/>
      </w:pPr>
      <w:rPr>
        <w:rFonts w:hint="default"/>
        <w:b w:val="0"/>
        <w:i/>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82423E3"/>
    <w:multiLevelType w:val="hybridMultilevel"/>
    <w:tmpl w:val="E41E111A"/>
    <w:lvl w:ilvl="0" w:tplc="98BA819C">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ADF60DC"/>
    <w:multiLevelType w:val="hybridMultilevel"/>
    <w:tmpl w:val="0802A0FA"/>
    <w:lvl w:ilvl="0" w:tplc="CA4C5138">
      <w:start w:val="1"/>
      <w:numFmt w:val="decimal"/>
      <w:lvlText w:val="C%1."/>
      <w:lvlJc w:val="left"/>
      <w:pPr>
        <w:tabs>
          <w:tab w:val="num" w:pos="726"/>
        </w:tabs>
        <w:ind w:left="726" w:hanging="545"/>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F4948ED"/>
    <w:multiLevelType w:val="hybridMultilevel"/>
    <w:tmpl w:val="D4A667FA"/>
    <w:lvl w:ilvl="0" w:tplc="4F969AB8">
      <w:start w:val="1"/>
      <w:numFmt w:val="decimal"/>
      <w:lvlText w:val="D%1."/>
      <w:lvlJc w:val="left"/>
      <w:pPr>
        <w:tabs>
          <w:tab w:val="num" w:pos="726"/>
        </w:tabs>
        <w:ind w:left="726" w:hanging="54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FCB4A84"/>
    <w:multiLevelType w:val="hybridMultilevel"/>
    <w:tmpl w:val="C79409F4"/>
    <w:lvl w:ilvl="0" w:tplc="98BA819C">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02F4482"/>
    <w:multiLevelType w:val="hybridMultilevel"/>
    <w:tmpl w:val="C0F87414"/>
    <w:lvl w:ilvl="0" w:tplc="3E78DBBA">
      <w:start w:val="1"/>
      <w:numFmt w:val="lowerRoman"/>
      <w:lvlText w:val="(%1)"/>
      <w:lvlJc w:val="left"/>
      <w:pPr>
        <w:tabs>
          <w:tab w:val="num" w:pos="1797"/>
        </w:tabs>
        <w:ind w:left="1797" w:hanging="720"/>
      </w:pPr>
      <w:rPr>
        <w:rFonts w:hint="default"/>
        <w:b w:val="0"/>
        <w:i/>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1264CC9"/>
    <w:multiLevelType w:val="hybridMultilevel"/>
    <w:tmpl w:val="14A8E51C"/>
    <w:lvl w:ilvl="0" w:tplc="98BA819C">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2FF25F2"/>
    <w:multiLevelType w:val="hybridMultilevel"/>
    <w:tmpl w:val="D9868546"/>
    <w:lvl w:ilvl="0" w:tplc="3E78DBBA">
      <w:start w:val="1"/>
      <w:numFmt w:val="lowerRoman"/>
      <w:lvlText w:val="(%1)"/>
      <w:lvlJc w:val="left"/>
      <w:pPr>
        <w:tabs>
          <w:tab w:val="num" w:pos="1797"/>
        </w:tabs>
        <w:ind w:left="1797" w:hanging="720"/>
      </w:pPr>
      <w:rPr>
        <w:rFonts w:hint="default"/>
        <w:b w:val="0"/>
        <w:i/>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6FC1CF7"/>
    <w:multiLevelType w:val="hybridMultilevel"/>
    <w:tmpl w:val="C040D0BE"/>
    <w:lvl w:ilvl="0" w:tplc="4F969AB8">
      <w:start w:val="1"/>
      <w:numFmt w:val="decimal"/>
      <w:lvlText w:val="D%1."/>
      <w:lvlJc w:val="left"/>
      <w:pPr>
        <w:tabs>
          <w:tab w:val="num" w:pos="726"/>
        </w:tabs>
        <w:ind w:left="726" w:hanging="54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8042FE2"/>
    <w:multiLevelType w:val="hybridMultilevel"/>
    <w:tmpl w:val="7C263894"/>
    <w:lvl w:ilvl="0" w:tplc="599AF556">
      <w:start w:val="1"/>
      <w:numFmt w:val="decimal"/>
      <w:lvlText w:val="F%1."/>
      <w:lvlJc w:val="left"/>
      <w:pPr>
        <w:tabs>
          <w:tab w:val="num" w:pos="726"/>
        </w:tabs>
        <w:ind w:left="726" w:hanging="54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8944021"/>
    <w:multiLevelType w:val="hybridMultilevel"/>
    <w:tmpl w:val="D0A4E052"/>
    <w:lvl w:ilvl="0" w:tplc="3E78DBBA">
      <w:start w:val="1"/>
      <w:numFmt w:val="lowerRoman"/>
      <w:lvlText w:val="(%1)"/>
      <w:lvlJc w:val="left"/>
      <w:pPr>
        <w:tabs>
          <w:tab w:val="num" w:pos="1797"/>
        </w:tabs>
        <w:ind w:left="1797" w:hanging="720"/>
      </w:pPr>
      <w:rPr>
        <w:rFonts w:hint="default"/>
        <w:b w:val="0"/>
        <w:i/>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DB463F5"/>
    <w:multiLevelType w:val="hybridMultilevel"/>
    <w:tmpl w:val="090A4364"/>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34">
    <w:nsid w:val="774449BA"/>
    <w:multiLevelType w:val="hybridMultilevel"/>
    <w:tmpl w:val="B6D6DFD8"/>
    <w:lvl w:ilvl="0" w:tplc="0C30FCAA">
      <w:start w:val="1"/>
      <w:numFmt w:val="decimal"/>
      <w:lvlText w:val="%1."/>
      <w:lvlJc w:val="left"/>
      <w:pPr>
        <w:tabs>
          <w:tab w:val="num" w:pos="567"/>
        </w:tabs>
        <w:ind w:left="567" w:hanging="567"/>
      </w:pPr>
      <w:rPr>
        <w:rFonts w:ascii="Times New Roman" w:hAnsi="Times New Roman" w:cs="Times New Roman" w:hint="default"/>
        <w:b w:val="0"/>
        <w:i w:val="0"/>
        <w:sz w:val="24"/>
        <w:szCs w:val="24"/>
        <w:lang w:val="pt-PT"/>
      </w:rPr>
    </w:lvl>
    <w:lvl w:ilvl="1" w:tplc="3B1E6316">
      <w:start w:val="1"/>
      <w:numFmt w:val="lowerLetter"/>
      <w:lvlText w:val="(%2)"/>
      <w:lvlJc w:val="left"/>
      <w:pPr>
        <w:tabs>
          <w:tab w:val="num" w:pos="663"/>
        </w:tabs>
        <w:ind w:left="663" w:hanging="360"/>
      </w:pPr>
      <w:rPr>
        <w:rFonts w:hint="default"/>
        <w:b w:val="0"/>
        <w:i w:val="0"/>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7E84485"/>
    <w:multiLevelType w:val="hybridMultilevel"/>
    <w:tmpl w:val="AA32E34C"/>
    <w:lvl w:ilvl="0" w:tplc="98BA819C">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D916676"/>
    <w:multiLevelType w:val="multilevel"/>
    <w:tmpl w:val="7C263894"/>
    <w:lvl w:ilvl="0">
      <w:start w:val="1"/>
      <w:numFmt w:val="decimal"/>
      <w:lvlText w:val="F%1."/>
      <w:lvlJc w:val="left"/>
      <w:pPr>
        <w:tabs>
          <w:tab w:val="num" w:pos="726"/>
        </w:tabs>
        <w:ind w:left="726" w:hanging="54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FE006C0"/>
    <w:multiLevelType w:val="hybridMultilevel"/>
    <w:tmpl w:val="4F06FDA4"/>
    <w:lvl w:ilvl="0" w:tplc="98BA819C">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4"/>
  </w:num>
  <w:num w:numId="2">
    <w:abstractNumId w:val="7"/>
  </w:num>
  <w:num w:numId="3">
    <w:abstractNumId w:val="33"/>
  </w:num>
  <w:num w:numId="4">
    <w:abstractNumId w:val="11"/>
  </w:num>
  <w:num w:numId="5">
    <w:abstractNumId w:val="6"/>
  </w:num>
  <w:num w:numId="6">
    <w:abstractNumId w:val="4"/>
  </w:num>
  <w:num w:numId="7">
    <w:abstractNumId w:val="8"/>
  </w:num>
  <w:num w:numId="8">
    <w:abstractNumId w:val="28"/>
  </w:num>
  <w:num w:numId="9">
    <w:abstractNumId w:val="13"/>
  </w:num>
  <w:num w:numId="10">
    <w:abstractNumId w:val="17"/>
  </w:num>
  <w:num w:numId="11">
    <w:abstractNumId w:val="19"/>
  </w:num>
  <w:num w:numId="12">
    <w:abstractNumId w:val="35"/>
  </w:num>
  <w:num w:numId="13">
    <w:abstractNumId w:val="18"/>
  </w:num>
  <w:num w:numId="14">
    <w:abstractNumId w:val="26"/>
  </w:num>
  <w:num w:numId="15">
    <w:abstractNumId w:val="15"/>
  </w:num>
  <w:num w:numId="16">
    <w:abstractNumId w:val="22"/>
  </w:num>
  <w:num w:numId="17">
    <w:abstractNumId w:val="5"/>
  </w:num>
  <w:num w:numId="18">
    <w:abstractNumId w:val="23"/>
  </w:num>
  <w:num w:numId="19">
    <w:abstractNumId w:val="16"/>
  </w:num>
  <w:num w:numId="20">
    <w:abstractNumId w:val="24"/>
  </w:num>
  <w:num w:numId="21">
    <w:abstractNumId w:val="3"/>
  </w:num>
  <w:num w:numId="22">
    <w:abstractNumId w:val="37"/>
  </w:num>
  <w:num w:numId="23">
    <w:abstractNumId w:val="14"/>
  </w:num>
  <w:num w:numId="24">
    <w:abstractNumId w:val="21"/>
  </w:num>
  <w:num w:numId="25">
    <w:abstractNumId w:val="1"/>
  </w:num>
  <w:num w:numId="26">
    <w:abstractNumId w:val="0"/>
  </w:num>
  <w:num w:numId="27">
    <w:abstractNumId w:val="29"/>
  </w:num>
  <w:num w:numId="28">
    <w:abstractNumId w:val="27"/>
  </w:num>
  <w:num w:numId="29">
    <w:abstractNumId w:val="25"/>
  </w:num>
  <w:num w:numId="30">
    <w:abstractNumId w:val="32"/>
  </w:num>
  <w:num w:numId="31">
    <w:abstractNumId w:val="9"/>
  </w:num>
  <w:num w:numId="32">
    <w:abstractNumId w:val="10"/>
  </w:num>
  <w:num w:numId="33">
    <w:abstractNumId w:val="30"/>
  </w:num>
  <w:num w:numId="34">
    <w:abstractNumId w:val="20"/>
  </w:num>
  <w:num w:numId="35">
    <w:abstractNumId w:val="31"/>
  </w:num>
  <w:num w:numId="36">
    <w:abstractNumId w:val="36"/>
  </w:num>
  <w:num w:numId="37">
    <w:abstractNumId w:val="2"/>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2E6A03"/>
    <w:rsid w:val="00025BDD"/>
    <w:rsid w:val="00075D85"/>
    <w:rsid w:val="00124624"/>
    <w:rsid w:val="0017569E"/>
    <w:rsid w:val="001A017E"/>
    <w:rsid w:val="0022233F"/>
    <w:rsid w:val="0027115F"/>
    <w:rsid w:val="00306D90"/>
    <w:rsid w:val="004E1209"/>
    <w:rsid w:val="006306D5"/>
    <w:rsid w:val="006442C7"/>
    <w:rsid w:val="00651345"/>
    <w:rsid w:val="00663B40"/>
    <w:rsid w:val="00677FDC"/>
    <w:rsid w:val="006969AD"/>
    <w:rsid w:val="00790D3E"/>
    <w:rsid w:val="007C3A32"/>
    <w:rsid w:val="007F35E5"/>
    <w:rsid w:val="007F547D"/>
    <w:rsid w:val="00811144"/>
    <w:rsid w:val="008A6755"/>
    <w:rsid w:val="008E65C1"/>
    <w:rsid w:val="00910C43"/>
    <w:rsid w:val="009E0866"/>
    <w:rsid w:val="00A30528"/>
    <w:rsid w:val="00A71216"/>
    <w:rsid w:val="00AA34AA"/>
    <w:rsid w:val="00AB34EB"/>
    <w:rsid w:val="00AF7D3E"/>
    <w:rsid w:val="00B12C11"/>
    <w:rsid w:val="00B22FC1"/>
    <w:rsid w:val="00B4047D"/>
    <w:rsid w:val="00C07767"/>
    <w:rsid w:val="00C34A7A"/>
    <w:rsid w:val="00C36F97"/>
    <w:rsid w:val="00C6253C"/>
    <w:rsid w:val="00C677E7"/>
    <w:rsid w:val="00CF5B72"/>
    <w:rsid w:val="00E9603A"/>
    <w:rsid w:val="00EF13B7"/>
    <w:rsid w:val="00F140C8"/>
    <w:rsid w:val="00F64BB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232"/>
    <w:pPr>
      <w:spacing w:before="120" w:after="120"/>
      <w:jc w:val="both"/>
    </w:pPr>
    <w:rPr>
      <w:rFonts w:ascii="Arial" w:hAnsi="Arial"/>
      <w:szCs w:val="24"/>
      <w:lang w:val="pt-PT"/>
    </w:rPr>
  </w:style>
  <w:style w:type="paragraph" w:styleId="Ttulo1">
    <w:name w:val="heading 1"/>
    <w:basedOn w:val="Normal"/>
    <w:qFormat/>
    <w:rsid w:val="007D7285"/>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qFormat/>
    <w:rsid w:val="002E6A03"/>
    <w:pPr>
      <w:keepNext/>
      <w:spacing w:before="240" w:after="60"/>
      <w:outlineLvl w:val="1"/>
    </w:pPr>
    <w:rPr>
      <w:rFonts w:cs="Arial"/>
      <w:b/>
      <w:bCs/>
      <w:i/>
      <w:iCs/>
      <w:sz w:val="28"/>
      <w:szCs w:val="28"/>
    </w:rPr>
  </w:style>
  <w:style w:type="paragraph" w:styleId="Ttulo3">
    <w:name w:val="heading 3"/>
    <w:basedOn w:val="Normal"/>
    <w:next w:val="Normal"/>
    <w:qFormat/>
    <w:rsid w:val="002E6A03"/>
    <w:pPr>
      <w:keepNext/>
      <w:spacing w:before="240" w:after="60"/>
      <w:outlineLvl w:val="2"/>
    </w:pPr>
    <w:rPr>
      <w:rFonts w:cs="Arial"/>
      <w:b/>
      <w:bCs/>
      <w:sz w:val="26"/>
      <w:szCs w:val="26"/>
    </w:rPr>
  </w:style>
  <w:style w:type="paragraph" w:styleId="Ttulo4">
    <w:name w:val="heading 4"/>
    <w:basedOn w:val="Normal"/>
    <w:next w:val="Normal"/>
    <w:qFormat/>
    <w:rsid w:val="00AB4D64"/>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E6A03"/>
    <w:pPr>
      <w:spacing w:before="240" w:after="60"/>
      <w:outlineLvl w:val="4"/>
    </w:pPr>
    <w:rPr>
      <w:b/>
      <w:bCs/>
      <w:i/>
      <w:iCs/>
      <w:sz w:val="26"/>
      <w:szCs w:val="26"/>
    </w:rPr>
  </w:style>
  <w:style w:type="paragraph" w:styleId="Ttulo6">
    <w:name w:val="heading 6"/>
    <w:basedOn w:val="Normal"/>
    <w:next w:val="Normal"/>
    <w:qFormat/>
    <w:rsid w:val="002E6A03"/>
    <w:pPr>
      <w:keepNext/>
      <w:outlineLvl w:val="5"/>
    </w:pPr>
    <w:rPr>
      <w:rFonts w:ascii="Times New Roman" w:hAnsi="Times New Roman"/>
      <w:b/>
      <w:caps/>
      <w:sz w:val="22"/>
      <w:szCs w:val="20"/>
      <w:lang w:val="pt-BR" w:eastAsia="en-US"/>
    </w:rPr>
  </w:style>
  <w:style w:type="paragraph" w:styleId="Ttulo7">
    <w:name w:val="heading 7"/>
    <w:basedOn w:val="Normal"/>
    <w:next w:val="Normal"/>
    <w:qFormat/>
    <w:rsid w:val="007D7285"/>
    <w:pPr>
      <w:spacing w:before="240" w:after="60"/>
      <w:jc w:val="left"/>
      <w:outlineLvl w:val="6"/>
    </w:pPr>
    <w:rPr>
      <w:rFonts w:ascii="Times New Roman" w:hAnsi="Times New Roman"/>
      <w:sz w:val="24"/>
      <w:lang w:val="pt-BR"/>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Textoembloco">
    <w:name w:val="Block Text"/>
    <w:basedOn w:val="Normal"/>
    <w:rsid w:val="002E6A03"/>
    <w:pPr>
      <w:widowControl w:val="0"/>
      <w:tabs>
        <w:tab w:val="left" w:pos="6804"/>
      </w:tabs>
      <w:spacing w:before="2" w:after="2" w:line="250" w:lineRule="auto"/>
      <w:ind w:left="336" w:right="57" w:hanging="279"/>
      <w:jc w:val="left"/>
    </w:pPr>
    <w:rPr>
      <w:rFonts w:cs="Arial"/>
    </w:rPr>
  </w:style>
  <w:style w:type="paragraph" w:styleId="Cabealho">
    <w:name w:val="header"/>
    <w:basedOn w:val="Normal"/>
    <w:rsid w:val="002E6A03"/>
    <w:pPr>
      <w:tabs>
        <w:tab w:val="center" w:pos="4320"/>
        <w:tab w:val="right" w:pos="8640"/>
      </w:tabs>
    </w:pPr>
  </w:style>
  <w:style w:type="paragraph" w:styleId="Rodap">
    <w:name w:val="footer"/>
    <w:basedOn w:val="Normal"/>
    <w:rsid w:val="002E6A03"/>
    <w:pPr>
      <w:tabs>
        <w:tab w:val="center" w:pos="4320"/>
        <w:tab w:val="right" w:pos="8640"/>
      </w:tabs>
    </w:pPr>
  </w:style>
  <w:style w:type="character" w:styleId="Refdecomentrio">
    <w:name w:val="annotation reference"/>
    <w:basedOn w:val="Fontepargpadro"/>
    <w:semiHidden/>
    <w:rsid w:val="002E6A03"/>
    <w:rPr>
      <w:sz w:val="16"/>
    </w:rPr>
  </w:style>
  <w:style w:type="paragraph" w:styleId="Textodecomentrio">
    <w:name w:val="annotation text"/>
    <w:basedOn w:val="Normal"/>
    <w:semiHidden/>
    <w:rsid w:val="002E6A03"/>
    <w:pPr>
      <w:spacing w:before="0" w:after="0"/>
    </w:pPr>
    <w:rPr>
      <w:rFonts w:ascii="Times New Roman" w:hAnsi="Times New Roman"/>
      <w:szCs w:val="20"/>
      <w:lang w:val="pt-BR" w:eastAsia="en-US"/>
    </w:rPr>
  </w:style>
  <w:style w:type="paragraph" w:styleId="Textodebalo">
    <w:name w:val="Balloon Text"/>
    <w:basedOn w:val="Normal"/>
    <w:semiHidden/>
    <w:rsid w:val="002E6A03"/>
    <w:rPr>
      <w:rFonts w:ascii="Tahoma" w:hAnsi="Tahoma" w:cs="Tahoma"/>
      <w:sz w:val="16"/>
      <w:szCs w:val="16"/>
    </w:rPr>
  </w:style>
  <w:style w:type="paragraph" w:customStyle="1" w:styleId="Normalindent">
    <w:name w:val="Normal indent"/>
    <w:basedOn w:val="Normal"/>
    <w:rsid w:val="002E6A03"/>
    <w:pPr>
      <w:spacing w:before="0" w:after="0"/>
      <w:ind w:left="720"/>
    </w:pPr>
    <w:rPr>
      <w:rFonts w:ascii="Times New Roman" w:hAnsi="Times New Roman"/>
      <w:sz w:val="22"/>
      <w:szCs w:val="20"/>
      <w:lang w:val="pt-BR" w:eastAsia="en-US"/>
    </w:rPr>
  </w:style>
  <w:style w:type="paragraph" w:styleId="NormalWeb">
    <w:name w:val="Normal (Web)"/>
    <w:basedOn w:val="Normal"/>
    <w:rsid w:val="00EF6CC6"/>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semiHidden/>
    <w:rsid w:val="00D4325D"/>
    <w:pPr>
      <w:spacing w:before="120" w:after="120"/>
    </w:pPr>
    <w:rPr>
      <w:rFonts w:ascii="Arial" w:hAnsi="Arial"/>
      <w:b/>
      <w:bCs/>
      <w:lang w:val="pt-PT" w:eastAsia="pt-BR"/>
    </w:rPr>
  </w:style>
  <w:style w:type="paragraph" w:styleId="Corpodetexto">
    <w:name w:val="Body Text"/>
    <w:basedOn w:val="Normal"/>
    <w:rsid w:val="007D7285"/>
    <w:pPr>
      <w:spacing w:before="0" w:after="0"/>
    </w:pPr>
    <w:rPr>
      <w:rFonts w:ascii="Times New Roman" w:hAnsi="Times New Roman"/>
      <w:sz w:val="22"/>
      <w:szCs w:val="22"/>
      <w:lang w:val="pt-BR"/>
    </w:rPr>
  </w:style>
  <w:style w:type="character" w:customStyle="1" w:styleId="grame">
    <w:name w:val="grame"/>
    <w:basedOn w:val="Fontepargpadro"/>
    <w:rsid w:val="007D7285"/>
  </w:style>
  <w:style w:type="character" w:customStyle="1" w:styleId="spelle">
    <w:name w:val="spelle"/>
    <w:basedOn w:val="Fontepargpadro"/>
    <w:rsid w:val="007D7285"/>
  </w:style>
  <w:style w:type="character" w:styleId="Refdenotaderodap">
    <w:name w:val="footnote reference"/>
    <w:basedOn w:val="Fontepargpadro"/>
    <w:rsid w:val="007D7285"/>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rsid w:val="007D7285"/>
    <w:pPr>
      <w:spacing w:before="0" w:after="0"/>
    </w:pPr>
    <w:rPr>
      <w:rFonts w:ascii="Times New Roman" w:hAnsi="Times New Roman"/>
      <w:szCs w:val="20"/>
      <w:lang w:val="pt-BR"/>
    </w:rPr>
  </w:style>
  <w:style w:type="paragraph" w:customStyle="1" w:styleId="paragraph">
    <w:name w:val="paragraph"/>
    <w:basedOn w:val="Normal"/>
    <w:next w:val="Normal"/>
    <w:rsid w:val="00705052"/>
    <w:pPr>
      <w:widowControl w:val="0"/>
      <w:spacing w:before="0" w:after="0"/>
      <w:ind w:left="432" w:hanging="432"/>
    </w:pPr>
    <w:rPr>
      <w:rFonts w:ascii="Times New Roman" w:hAnsi="Times New Roman"/>
      <w:szCs w:val="20"/>
      <w:lang w:val="pt-BR" w:eastAsia="en-US"/>
    </w:rPr>
  </w:style>
  <w:style w:type="table" w:styleId="Tabelacomgrade">
    <w:name w:val="Table Grid"/>
    <w:basedOn w:val="Tabelanormal"/>
    <w:rsid w:val="00045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490704"/>
  </w:style>
  <w:style w:type="paragraph" w:customStyle="1" w:styleId="normal0">
    <w:name w:val="normal"/>
    <w:basedOn w:val="Normal"/>
    <w:rsid w:val="00865B0E"/>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865B0E"/>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865B0E"/>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rsid w:val="00865B0E"/>
    <w:pPr>
      <w:tabs>
        <w:tab w:val="left" w:pos="720"/>
      </w:tabs>
      <w:spacing w:before="0" w:after="0"/>
      <w:ind w:left="720" w:hanging="360"/>
    </w:pPr>
    <w:rPr>
      <w:rFonts w:ascii="Times New Roman" w:hAnsi="Times New Roman"/>
      <w:lang w:val="pt-BR" w:eastAsia="en-US"/>
    </w:rPr>
  </w:style>
  <w:style w:type="paragraph" w:styleId="Recuodecorpodetexto2">
    <w:name w:val="Body Text Indent 2"/>
    <w:basedOn w:val="Normal"/>
    <w:rsid w:val="00865B0E"/>
    <w:pPr>
      <w:spacing w:before="0" w:line="480" w:lineRule="auto"/>
      <w:ind w:left="283"/>
      <w:jc w:val="left"/>
    </w:pPr>
    <w:rPr>
      <w:rFonts w:ascii="Times New Roman" w:eastAsia="SimSun" w:hAnsi="Times New Roman"/>
      <w:sz w:val="24"/>
      <w:lang w:val="en-US" w:eastAsia="zh-CN"/>
    </w:rPr>
  </w:style>
  <w:style w:type="paragraph" w:customStyle="1" w:styleId="15-BulletNvel1">
    <w:name w:val="15 - «Bullet» Nível 1"/>
    <w:basedOn w:val="Normal"/>
    <w:rsid w:val="00865B0E"/>
    <w:pPr>
      <w:numPr>
        <w:numId w:val="2"/>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basedOn w:val="Fontepargpadro"/>
    <w:rsid w:val="00F353C9"/>
    <w:rPr>
      <w:color w:val="008000"/>
      <w:u w:val="single"/>
    </w:rPr>
  </w:style>
  <w:style w:type="paragraph" w:customStyle="1" w:styleId="IASBNormal">
    <w:name w:val="IASB Normal"/>
    <w:rsid w:val="001B5F12"/>
    <w:pPr>
      <w:spacing w:before="100" w:after="100"/>
      <w:jc w:val="both"/>
    </w:pPr>
    <w:rPr>
      <w:sz w:val="19"/>
      <w:lang w:val="en-US" w:eastAsia="en-US"/>
    </w:rPr>
  </w:style>
  <w:style w:type="paragraph" w:customStyle="1" w:styleId="IASBNormalArial">
    <w:name w:val="IASB Normal Arial"/>
    <w:basedOn w:val="IASBNormal"/>
    <w:rsid w:val="001B5F12"/>
    <w:pPr>
      <w:spacing w:before="200"/>
    </w:pPr>
    <w:rPr>
      <w:rFonts w:ascii="Arial" w:hAnsi="Arial" w:cs="Arial"/>
    </w:rPr>
  </w:style>
  <w:style w:type="paragraph" w:customStyle="1" w:styleId="IASBTitle">
    <w:name w:val="IASB Title"/>
    <w:basedOn w:val="IASBNormal"/>
    <w:rsid w:val="001B5F12"/>
    <w:pPr>
      <w:keepNext/>
      <w:keepLines/>
      <w:spacing w:before="300" w:after="400"/>
      <w:jc w:val="left"/>
    </w:pPr>
    <w:rPr>
      <w:rFonts w:ascii="Arial" w:hAnsi="Arial" w:cs="Arial"/>
      <w:b/>
      <w:sz w:val="36"/>
    </w:rPr>
  </w:style>
  <w:style w:type="paragraph" w:customStyle="1" w:styleId="IASBSectionTitleU">
    <w:name w:val="IASB Section Title U"/>
    <w:basedOn w:val="IASBTitle"/>
    <w:rsid w:val="001B5F12"/>
    <w:pPr>
      <w:pBdr>
        <w:bottom w:val="single" w:sz="4" w:space="0" w:color="auto"/>
      </w:pBdr>
      <w:spacing w:before="400" w:after="200"/>
    </w:pPr>
    <w:rPr>
      <w:sz w:val="26"/>
    </w:rPr>
  </w:style>
  <w:style w:type="paragraph" w:customStyle="1" w:styleId="IASBNote">
    <w:name w:val="IASB Note"/>
    <w:basedOn w:val="IASBNormal"/>
    <w:rsid w:val="001B5F12"/>
    <w:rPr>
      <w:i/>
    </w:rPr>
  </w:style>
  <w:style w:type="paragraph" w:customStyle="1" w:styleId="IASBFootnoteText">
    <w:name w:val="IASB Footnote Text"/>
    <w:basedOn w:val="IASBNormal"/>
    <w:rsid w:val="001B5F12"/>
    <w:pPr>
      <w:spacing w:before="0" w:after="60"/>
      <w:ind w:left="284" w:hanging="284"/>
    </w:pPr>
    <w:rPr>
      <w:sz w:val="16"/>
    </w:rPr>
  </w:style>
  <w:style w:type="table" w:customStyle="1" w:styleId="IASBInsideTable">
    <w:name w:val="IASB Inside Table"/>
    <w:rsid w:val="001B5F12"/>
    <w:tblPr>
      <w:tblOverlap w:val="never"/>
      <w:tblCellMar>
        <w:top w:w="10" w:type="dxa"/>
        <w:left w:w="50" w:type="dxa"/>
        <w:bottom w:w="5" w:type="dxa"/>
        <w:right w:w="50" w:type="dxa"/>
      </w:tblCellMar>
    </w:tblPr>
  </w:style>
  <w:style w:type="paragraph" w:customStyle="1" w:styleId="DaveIASBSubsectionTitle">
    <w:name w:val="Dave IASB Subsection Title"/>
    <w:basedOn w:val="IASBTitle"/>
    <w:rsid w:val="001B5F12"/>
    <w:pPr>
      <w:spacing w:after="200"/>
      <w:ind w:left="780"/>
    </w:pPr>
    <w:rPr>
      <w:sz w:val="26"/>
    </w:rPr>
  </w:style>
  <w:style w:type="paragraph" w:styleId="MapadoDocumento">
    <w:name w:val="Document Map"/>
    <w:basedOn w:val="Normal"/>
    <w:semiHidden/>
    <w:rsid w:val="00E62319"/>
    <w:pPr>
      <w:shd w:val="clear" w:color="auto" w:fill="000080"/>
    </w:pPr>
    <w:rPr>
      <w:rFonts w:ascii="Tahoma" w:hAnsi="Tahoma" w:cs="Tahoma"/>
    </w:rPr>
  </w:style>
  <w:style w:type="paragraph" w:customStyle="1" w:styleId="ZchnZchnCharCharZchnZchnCharCharZchnZchnCharCharZchnZchn1CharCharZchnZchnCharChar">
    <w:name w:val=" Zchn Zchn Char Char Zchn Zchn Char Char Zchn Zchn Char Char Zchn Zchn1 Char Char Zchn Zchn Char Char"/>
    <w:basedOn w:val="Normal"/>
    <w:rsid w:val="00C173A7"/>
    <w:pPr>
      <w:spacing w:before="0" w:after="160" w:line="240" w:lineRule="exact"/>
      <w:jc w:val="left"/>
    </w:pPr>
    <w:rPr>
      <w:rFonts w:ascii="Verdana" w:eastAsia="SimSun" w:hAnsi="Verdana"/>
      <w:szCs w:val="20"/>
      <w:lang w:val="pt-BR" w:eastAsia="es-AR"/>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0B1892"/>
    <w:pPr>
      <w:widowControl w:val="0"/>
      <w:adjustRightInd w:val="0"/>
      <w:spacing w:before="0" w:after="160" w:line="240" w:lineRule="exact"/>
      <w:jc w:val="left"/>
      <w:textAlignment w:val="baseline"/>
    </w:pPr>
    <w:rPr>
      <w:rFonts w:ascii="Verdana" w:eastAsia="SimSun" w:hAnsi="Verdana"/>
      <w:szCs w:val="20"/>
      <w:lang w:val="en-US" w:eastAsia="en-US"/>
    </w:rPr>
  </w:style>
  <w:style w:type="paragraph" w:styleId="Corpodetexto2">
    <w:name w:val="Body Text 2"/>
    <w:basedOn w:val="Normal"/>
    <w:rsid w:val="003D72D5"/>
    <w:pPr>
      <w:spacing w:line="480" w:lineRule="auto"/>
    </w:pPr>
  </w:style>
  <w:style w:type="paragraph" w:styleId="ListaColorida-nfase1">
    <w:name w:val="Colorful List Accent 1"/>
    <w:basedOn w:val="Normal"/>
    <w:uiPriority w:val="34"/>
    <w:qFormat/>
    <w:rsid w:val="00BC62E5"/>
    <w:pPr>
      <w:ind w:left="708"/>
    </w:pPr>
  </w:style>
  <w:style w:type="paragraph" w:styleId="PargrafodaLista">
    <w:name w:val="List Paragraph"/>
    <w:basedOn w:val="Normal"/>
    <w:uiPriority w:val="34"/>
    <w:qFormat/>
    <w:rsid w:val="00AB34EB"/>
    <w:pPr>
      <w:ind w:left="708"/>
    </w:pPr>
  </w:style>
</w:styles>
</file>

<file path=word/webSettings.xml><?xml version="1.0" encoding="utf-8"?>
<w:webSettings xmlns:r="http://schemas.openxmlformats.org/officeDocument/2006/relationships" xmlns:w="http://schemas.openxmlformats.org/wordprocessingml/2006/main">
  <w:divs>
    <w:div w:id="41945932">
      <w:bodyDiv w:val="1"/>
      <w:marLeft w:val="561"/>
      <w:marRight w:val="561"/>
      <w:marTop w:val="374"/>
      <w:marBottom w:val="374"/>
      <w:divBdr>
        <w:top w:val="none" w:sz="0" w:space="0" w:color="auto"/>
        <w:left w:val="none" w:sz="0" w:space="0" w:color="auto"/>
        <w:bottom w:val="none" w:sz="0" w:space="0" w:color="auto"/>
        <w:right w:val="none" w:sz="0" w:space="0" w:color="auto"/>
      </w:divBdr>
    </w:div>
    <w:div w:id="73093057">
      <w:bodyDiv w:val="1"/>
      <w:marLeft w:val="561"/>
      <w:marRight w:val="561"/>
      <w:marTop w:val="374"/>
      <w:marBottom w:val="374"/>
      <w:divBdr>
        <w:top w:val="none" w:sz="0" w:space="0" w:color="auto"/>
        <w:left w:val="none" w:sz="0" w:space="0" w:color="auto"/>
        <w:bottom w:val="none" w:sz="0" w:space="0" w:color="auto"/>
        <w:right w:val="none" w:sz="0" w:space="0" w:color="auto"/>
      </w:divBdr>
    </w:div>
    <w:div w:id="166678571">
      <w:bodyDiv w:val="1"/>
      <w:marLeft w:val="561"/>
      <w:marRight w:val="561"/>
      <w:marTop w:val="374"/>
      <w:marBottom w:val="374"/>
      <w:divBdr>
        <w:top w:val="none" w:sz="0" w:space="0" w:color="auto"/>
        <w:left w:val="none" w:sz="0" w:space="0" w:color="auto"/>
        <w:bottom w:val="none" w:sz="0" w:space="0" w:color="auto"/>
        <w:right w:val="none" w:sz="0" w:space="0" w:color="auto"/>
      </w:divBdr>
    </w:div>
    <w:div w:id="574508652">
      <w:bodyDiv w:val="1"/>
      <w:marLeft w:val="561"/>
      <w:marRight w:val="561"/>
      <w:marTop w:val="374"/>
      <w:marBottom w:val="374"/>
      <w:divBdr>
        <w:top w:val="none" w:sz="0" w:space="0" w:color="auto"/>
        <w:left w:val="none" w:sz="0" w:space="0" w:color="auto"/>
        <w:bottom w:val="none" w:sz="0" w:space="0" w:color="auto"/>
        <w:right w:val="none" w:sz="0" w:space="0" w:color="auto"/>
      </w:divBdr>
    </w:div>
    <w:div w:id="588730370">
      <w:bodyDiv w:val="1"/>
      <w:marLeft w:val="561"/>
      <w:marRight w:val="561"/>
      <w:marTop w:val="374"/>
      <w:marBottom w:val="374"/>
      <w:divBdr>
        <w:top w:val="none" w:sz="0" w:space="0" w:color="auto"/>
        <w:left w:val="none" w:sz="0" w:space="0" w:color="auto"/>
        <w:bottom w:val="none" w:sz="0" w:space="0" w:color="auto"/>
        <w:right w:val="none" w:sz="0" w:space="0" w:color="auto"/>
      </w:divBdr>
    </w:div>
    <w:div w:id="613514282">
      <w:bodyDiv w:val="1"/>
      <w:marLeft w:val="450"/>
      <w:marRight w:val="450"/>
      <w:marTop w:val="300"/>
      <w:marBottom w:val="300"/>
      <w:divBdr>
        <w:top w:val="none" w:sz="0" w:space="0" w:color="auto"/>
        <w:left w:val="none" w:sz="0" w:space="0" w:color="auto"/>
        <w:bottom w:val="none" w:sz="0" w:space="0" w:color="auto"/>
        <w:right w:val="none" w:sz="0" w:space="0" w:color="auto"/>
      </w:divBdr>
    </w:div>
    <w:div w:id="971058107">
      <w:bodyDiv w:val="1"/>
      <w:marLeft w:val="561"/>
      <w:marRight w:val="561"/>
      <w:marTop w:val="374"/>
      <w:marBottom w:val="374"/>
      <w:divBdr>
        <w:top w:val="none" w:sz="0" w:space="0" w:color="auto"/>
        <w:left w:val="none" w:sz="0" w:space="0" w:color="auto"/>
        <w:bottom w:val="none" w:sz="0" w:space="0" w:color="auto"/>
        <w:right w:val="none" w:sz="0" w:space="0" w:color="auto"/>
      </w:divBdr>
    </w:div>
    <w:div w:id="1292635501">
      <w:bodyDiv w:val="1"/>
      <w:marLeft w:val="561"/>
      <w:marRight w:val="561"/>
      <w:marTop w:val="374"/>
      <w:marBottom w:val="374"/>
      <w:divBdr>
        <w:top w:val="none" w:sz="0" w:space="0" w:color="auto"/>
        <w:left w:val="none" w:sz="0" w:space="0" w:color="auto"/>
        <w:bottom w:val="none" w:sz="0" w:space="0" w:color="auto"/>
        <w:right w:val="none" w:sz="0" w:space="0" w:color="auto"/>
      </w:divBdr>
    </w:div>
    <w:div w:id="1646009081">
      <w:bodyDiv w:val="1"/>
      <w:marLeft w:val="450"/>
      <w:marRight w:val="450"/>
      <w:marTop w:val="300"/>
      <w:marBottom w:val="300"/>
      <w:divBdr>
        <w:top w:val="none" w:sz="0" w:space="0" w:color="auto"/>
        <w:left w:val="none" w:sz="0" w:space="0" w:color="auto"/>
        <w:bottom w:val="none" w:sz="0" w:space="0" w:color="auto"/>
        <w:right w:val="none" w:sz="0" w:space="0" w:color="auto"/>
      </w:divBdr>
    </w:div>
    <w:div w:id="1750808709">
      <w:bodyDiv w:val="1"/>
      <w:marLeft w:val="561"/>
      <w:marRight w:val="561"/>
      <w:marTop w:val="374"/>
      <w:marBottom w:val="374"/>
      <w:divBdr>
        <w:top w:val="none" w:sz="0" w:space="0" w:color="auto"/>
        <w:left w:val="none" w:sz="0" w:space="0" w:color="auto"/>
        <w:bottom w:val="none" w:sz="0" w:space="0" w:color="auto"/>
        <w:right w:val="none" w:sz="0" w:space="0" w:color="auto"/>
      </w:divBdr>
    </w:div>
    <w:div w:id="1971281051">
      <w:bodyDiv w:val="1"/>
      <w:marLeft w:val="561"/>
      <w:marRight w:val="561"/>
      <w:marTop w:val="374"/>
      <w:marBottom w:val="374"/>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6767</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CPC 18 - Sumário</vt:lpstr>
      <vt:lpstr>CPC 18 - Sumário</vt:lpstr>
    </vt:vector>
  </TitlesOfParts>
  <Company>..</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 18 - Sumário</dc:title>
  <dc:creator>TRSR</dc:creator>
  <cp:lastModifiedBy>Flávio</cp:lastModifiedBy>
  <cp:revision>2</cp:revision>
  <cp:lastPrinted>2008-07-18T18:17:00Z</cp:lastPrinted>
  <dcterms:created xsi:type="dcterms:W3CDTF">2015-03-02T18:27:00Z</dcterms:created>
  <dcterms:modified xsi:type="dcterms:W3CDTF">2015-03-02T18:27:00Z</dcterms:modified>
</cp:coreProperties>
</file>