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25" w:rsidRPr="00204608" w:rsidRDefault="005C4225" w:rsidP="005C4225">
      <w:pPr>
        <w:spacing w:before="0" w:after="0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204608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Sumário do 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Pronunciamento</w:t>
      </w:r>
      <w:r w:rsidRPr="00204608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 Técnico CPC </w:t>
      </w:r>
      <w:r>
        <w:rPr>
          <w:rFonts w:ascii="Times New Roman" w:hAnsi="Times New Roman"/>
          <w:b/>
          <w:sz w:val="28"/>
          <w:szCs w:val="28"/>
          <w:u w:val="single"/>
          <w:lang w:val="pt-BR"/>
        </w:rPr>
        <w:t>36</w:t>
      </w:r>
      <w:r w:rsidR="00102CCA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 (R2)</w:t>
      </w:r>
    </w:p>
    <w:p w:rsidR="005C4225" w:rsidRDefault="005C4225" w:rsidP="005C4225">
      <w:pPr>
        <w:spacing w:before="0" w:after="0"/>
        <w:jc w:val="center"/>
        <w:rPr>
          <w:rFonts w:ascii="Times New Roman" w:hAnsi="Times New Roman"/>
          <w:b/>
          <w:sz w:val="24"/>
          <w:lang w:val="pt-BR"/>
        </w:rPr>
      </w:pPr>
    </w:p>
    <w:p w:rsidR="005C4225" w:rsidRPr="00204608" w:rsidRDefault="005C4225" w:rsidP="005C4225">
      <w:pPr>
        <w:spacing w:before="0" w:after="0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Demonstrações Consolidadas</w:t>
      </w:r>
    </w:p>
    <w:p w:rsidR="005C4225" w:rsidRDefault="005C4225" w:rsidP="005C4225">
      <w:pPr>
        <w:spacing w:before="0" w:after="0"/>
        <w:jc w:val="center"/>
        <w:rPr>
          <w:rFonts w:ascii="Times New Roman" w:hAnsi="Times New Roman"/>
          <w:b/>
          <w:sz w:val="24"/>
          <w:lang w:val="pt-BR"/>
        </w:rPr>
      </w:pPr>
    </w:p>
    <w:p w:rsidR="005C4225" w:rsidRPr="00850D5F" w:rsidRDefault="005C4225" w:rsidP="005C4225">
      <w:pPr>
        <w:spacing w:before="0" w:after="0"/>
        <w:jc w:val="center"/>
        <w:rPr>
          <w:rFonts w:ascii="Times New Roman" w:hAnsi="Times New Roman"/>
          <w:b/>
          <w:sz w:val="24"/>
          <w:lang w:val="pt-BR"/>
        </w:rPr>
      </w:pPr>
    </w:p>
    <w:p w:rsidR="005C4225" w:rsidRPr="00850D5F" w:rsidRDefault="005C4225" w:rsidP="005C4225">
      <w:pPr>
        <w:spacing w:before="0" w:after="0"/>
        <w:jc w:val="center"/>
        <w:rPr>
          <w:rFonts w:ascii="Times New Roman" w:hAnsi="Times New Roman"/>
          <w:b/>
          <w:sz w:val="24"/>
          <w:lang w:val="pt-BR"/>
        </w:rPr>
      </w:pPr>
    </w:p>
    <w:p w:rsidR="005C4225" w:rsidRDefault="005C4225" w:rsidP="005C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/>
          <w:sz w:val="24"/>
          <w:lang w:val="pt-BR" w:eastAsia="en-US"/>
        </w:rPr>
      </w:pPr>
      <w:r>
        <w:rPr>
          <w:rFonts w:ascii="Times New Roman" w:hAnsi="Times New Roman"/>
          <w:sz w:val="24"/>
          <w:lang w:val="pt-BR" w:eastAsia="en-US"/>
        </w:rPr>
        <w:t xml:space="preserve">Este </w:t>
      </w:r>
      <w:r w:rsidR="00FD6A05">
        <w:rPr>
          <w:rFonts w:ascii="Times New Roman" w:hAnsi="Times New Roman"/>
          <w:sz w:val="24"/>
          <w:lang w:val="pt-BR" w:eastAsia="en-US"/>
        </w:rPr>
        <w:t>Sumário</w:t>
      </w:r>
      <w:r>
        <w:rPr>
          <w:rFonts w:ascii="Times New Roman" w:hAnsi="Times New Roman"/>
          <w:sz w:val="24"/>
          <w:lang w:val="pt-BR" w:eastAsia="en-US"/>
        </w:rPr>
        <w:t>, que não faz parte do Pronunciamento, está sendo apresentado apenas para identificação dos principais pontos tratados, possibilitando uma visão geral do assunto.</w:t>
      </w:r>
    </w:p>
    <w:p w:rsidR="005C4225" w:rsidRDefault="005C4225" w:rsidP="005C4225">
      <w:pPr>
        <w:spacing w:before="0" w:after="0"/>
        <w:rPr>
          <w:rFonts w:ascii="Times New Roman" w:hAnsi="Times New Roman"/>
          <w:sz w:val="24"/>
          <w:lang w:val="pt-BR" w:eastAsia="en-US"/>
        </w:rPr>
      </w:pPr>
    </w:p>
    <w:p w:rsidR="005C4225" w:rsidRPr="00850D5F" w:rsidRDefault="005C4225" w:rsidP="005C4225">
      <w:pPr>
        <w:spacing w:before="0" w:after="0"/>
        <w:rPr>
          <w:rFonts w:ascii="Times New Roman" w:hAnsi="Times New Roman"/>
          <w:sz w:val="24"/>
          <w:lang w:val="pt-BR" w:eastAsia="en-US"/>
        </w:rPr>
      </w:pPr>
    </w:p>
    <w:p w:rsidR="005C4225" w:rsidRDefault="005C4225" w:rsidP="005C4225">
      <w:pPr>
        <w:spacing w:before="0" w:after="0"/>
        <w:rPr>
          <w:rFonts w:ascii="Times New Roman" w:hAnsi="Times New Roman"/>
          <w:sz w:val="24"/>
          <w:lang w:val="pt-BR" w:eastAsia="en-US"/>
        </w:rPr>
      </w:pPr>
    </w:p>
    <w:p w:rsidR="005C4225" w:rsidRPr="00204608" w:rsidRDefault="005C4225" w:rsidP="005C4225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pt-BR" w:eastAsia="en-US"/>
        </w:rPr>
      </w:pPr>
      <w:r w:rsidRPr="00204608">
        <w:rPr>
          <w:rFonts w:ascii="Times New Roman" w:hAnsi="Times New Roman"/>
          <w:b/>
          <w:sz w:val="28"/>
          <w:szCs w:val="28"/>
          <w:lang w:val="pt-BR" w:eastAsia="en-US"/>
        </w:rPr>
        <w:t>SUMÁRIO</w:t>
      </w:r>
    </w:p>
    <w:p w:rsidR="005C4225" w:rsidRDefault="005C4225" w:rsidP="005C4225">
      <w:pPr>
        <w:pStyle w:val="Textoembloco"/>
        <w:spacing w:before="0"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0F4537" w:rsidRPr="00850D5F" w:rsidRDefault="000F4537" w:rsidP="005C4225">
      <w:pPr>
        <w:pStyle w:val="Textoembloco"/>
        <w:spacing w:before="0"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5C4225" w:rsidRPr="00850D5F" w:rsidRDefault="005C4225" w:rsidP="005C4225">
      <w:pPr>
        <w:pStyle w:val="Textoembloco"/>
        <w:spacing w:before="0"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Objetivo do Pronunciamento</w:t>
      </w:r>
    </w:p>
    <w:p w:rsidR="005C4225" w:rsidRPr="00850D5F" w:rsidRDefault="005C4225" w:rsidP="005C4225">
      <w:pPr>
        <w:pStyle w:val="Textoembloc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Default="005C4225" w:rsidP="00FE314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O objetivo do Pronunciamento é aumentar a relevância, a confiabilidade e a comparabilidade das informações que 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controladora fornece em suas demonstrações contábeis, por essas demonstrações integrarem as entidades que estão sob seu controle. O presente Pronunciamento especifica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a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s circunstâncias em que 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entidade deve consolidar as demonstrações contábeis de outra entidade (uma controlada)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, 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os efeitos contábeis de mudanças na participação relativa da controladora sobre 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controlada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e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da perda do controle sobre 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controlada e</w:t>
      </w:r>
      <w:r w:rsidR="00FE3145">
        <w:rPr>
          <w:rFonts w:ascii="Times New Roman" w:hAnsi="Times New Roman" w:cs="Times New Roman"/>
          <w:color w:val="000000"/>
          <w:sz w:val="24"/>
          <w:lang w:val="pt-BR"/>
        </w:rPr>
        <w:t xml:space="preserve"> a 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informação que deve </w:t>
      </w:r>
      <w:r w:rsidR="00FE3145">
        <w:rPr>
          <w:rFonts w:ascii="Times New Roman" w:hAnsi="Times New Roman" w:cs="Times New Roman"/>
          <w:color w:val="000000"/>
          <w:sz w:val="24"/>
          <w:lang w:val="pt-BR"/>
        </w:rPr>
        <w:t>ser e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>videncia</w:t>
      </w:r>
      <w:r w:rsidR="00FE3145">
        <w:rPr>
          <w:rFonts w:ascii="Times New Roman" w:hAnsi="Times New Roman" w:cs="Times New Roman"/>
          <w:color w:val="000000"/>
          <w:sz w:val="24"/>
          <w:lang w:val="pt-BR"/>
        </w:rPr>
        <w:t>da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para permitir que os usuários das demonstrações contábeis avaliem a natureza da relação entre a entidade e suas controladas.</w:t>
      </w:r>
    </w:p>
    <w:p w:rsidR="000747C3" w:rsidRPr="00FE3145" w:rsidRDefault="000747C3" w:rsidP="000747C3">
      <w:pPr>
        <w:pStyle w:val="Textoembloco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Default="005C4225" w:rsidP="005C4225">
      <w:pPr>
        <w:pStyle w:val="Textoembloco"/>
        <w:spacing w:before="0"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5C4225" w:rsidRPr="00850D5F" w:rsidRDefault="005C4225" w:rsidP="005C4225">
      <w:pPr>
        <w:pStyle w:val="Textoembloco"/>
        <w:keepNext/>
        <w:spacing w:before="0" w:after="0" w:line="240" w:lineRule="auto"/>
        <w:ind w:left="57" w:firstLine="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Principais Características do Pronunciamento</w:t>
      </w:r>
    </w:p>
    <w:p w:rsidR="005C4225" w:rsidRPr="00850D5F" w:rsidRDefault="005C4225" w:rsidP="005C4225">
      <w:pPr>
        <w:pStyle w:val="Textoembloc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Default="005C4225" w:rsidP="00FE314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6E5921">
        <w:rPr>
          <w:rFonts w:ascii="Times New Roman" w:hAnsi="Times New Roman" w:cs="Times New Roman"/>
          <w:color w:val="000000"/>
          <w:sz w:val="24"/>
          <w:lang w:val="pt-BR"/>
        </w:rPr>
        <w:t>Uma entidade controla outra quando tem o poder de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>governar</w:t>
      </w: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 as políticas financeiras e operacionais da outra de forma a obter benefício das suas atividades.</w:t>
      </w:r>
      <w:r w:rsidRPr="006E5921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pt-BR"/>
        </w:rPr>
        <w:t>Podem ocorrer situações em que a controladora não detém a maioria das ações, cotas ou outros instrumentos patrimoniais com direito a voto</w:t>
      </w:r>
      <w:r w:rsidR="00FE3145">
        <w:rPr>
          <w:rFonts w:ascii="Times New Roman" w:hAnsi="Times New Roman" w:cs="Times New Roman"/>
          <w:color w:val="000000"/>
          <w:sz w:val="24"/>
          <w:lang w:val="pt-BR"/>
        </w:rPr>
        <w:t>, mas que seja titular</w:t>
      </w:r>
      <w:r w:rsidR="00FE3145" w:rsidRPr="00FE3145">
        <w:rPr>
          <w:rFonts w:ascii="Times New Roman" w:hAnsi="Times New Roman" w:cs="Times New Roman"/>
          <w:color w:val="000000"/>
          <w:sz w:val="24"/>
          <w:lang w:val="pt-BR"/>
        </w:rPr>
        <w:t>, diretamente ou por meio de outras controladas, de direitos de sócio que lhe assegurem, de modo permanente, preponderância nas deliberações sociais e o poder de eleger a maioria dos administradores.</w:t>
      </w:r>
    </w:p>
    <w:p w:rsidR="000747C3" w:rsidRDefault="000747C3" w:rsidP="000747C3">
      <w:pPr>
        <w:pStyle w:val="Textoembloco"/>
        <w:spacing w:before="0" w:after="0"/>
        <w:ind w:left="567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0747C3" w:rsidRPr="000747C3" w:rsidRDefault="000747C3" w:rsidP="000747C3">
      <w:pPr>
        <w:pStyle w:val="Textoembloco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Ao avaliar se 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potenciais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direitos de voto contribuem para o controle, a entidade deve examinar todos os fatos e circunstâncias (incluindo os termos de exercício dos 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potenciais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direitos de voto e </w:t>
      </w:r>
      <w:r>
        <w:rPr>
          <w:rFonts w:ascii="Times New Roman" w:hAnsi="Times New Roman" w:cs="Times New Roman"/>
          <w:color w:val="000000"/>
          <w:sz w:val="24"/>
          <w:lang w:val="pt-BR"/>
        </w:rPr>
        <w:t>qualquer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 outro </w:t>
      </w:r>
      <w:r>
        <w:rPr>
          <w:rFonts w:ascii="Times New Roman" w:hAnsi="Times New Roman" w:cs="Times New Roman"/>
          <w:color w:val="000000"/>
          <w:sz w:val="24"/>
          <w:lang w:val="pt-BR"/>
        </w:rPr>
        <w:t>acordo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 contratual, considerados individualmente ou em conjunto) que possam afetar os 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potenciais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direitos de voto,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lastRenderedPageBreak/>
        <w:t>exceto a intenção da administração e a capacidade financeira para exercê-los ou convertê-los.</w:t>
      </w:r>
    </w:p>
    <w:p w:rsidR="000747C3" w:rsidRDefault="000747C3" w:rsidP="000747C3">
      <w:pPr>
        <w:pStyle w:val="Textoembloco"/>
        <w:spacing w:before="0" w:after="0"/>
        <w:ind w:left="567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0747C3" w:rsidRPr="000721A3" w:rsidRDefault="000747C3" w:rsidP="000747C3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Quando existirem 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potenciais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direitos de voto, a parte atribuível à controladora nos resultados e demais variações do patrimônio líquido da controlada é determinada com base na sua 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atual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participação e não deve refletir o possível exercício ou 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 xml:space="preserve">a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conversão dos 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potenciais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>direitos de voto.</w:t>
      </w:r>
    </w:p>
    <w:p w:rsidR="005C4225" w:rsidRPr="000747C3" w:rsidRDefault="005C4225" w:rsidP="000747C3">
      <w:pPr>
        <w:pStyle w:val="Textoembloco"/>
        <w:spacing w:before="0" w:after="0"/>
        <w:ind w:left="567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Pr="002C5C30" w:rsidRDefault="00FE3145" w:rsidP="005C422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 xml:space="preserve"> controladora deve consolidar 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 xml:space="preserve">todos 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 xml:space="preserve">os 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>seus investimentos em controladas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>, independentemente de atuarem em ramos econômicos diferenciados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 xml:space="preserve">. Essa exigência tem uma limitada exceção, disponível apenas para algumas entidades em 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>raras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 xml:space="preserve"> situações. 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 xml:space="preserve">Se </w:t>
      </w:r>
      <w:r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 xml:space="preserve"> sociedade apresentar demonstrações contábeis e tiver uma controlada, como regra está obrigada à consolidação, mesmo que seja, por exemplo, uma sociedade limitada, porque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>as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 xml:space="preserve"> exceç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 xml:space="preserve">ões 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>não libera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>m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 xml:space="preserve">essas sociedades nem </w:t>
      </w:r>
      <w:r w:rsidR="005C4225" w:rsidRPr="006E5921">
        <w:rPr>
          <w:rFonts w:ascii="Times New Roman" w:hAnsi="Times New Roman" w:cs="Times New Roman"/>
          <w:color w:val="000000"/>
          <w:sz w:val="24"/>
          <w:lang w:val="pt-BR"/>
        </w:rPr>
        <w:t>organizações de capital de risco, fundos mútuos, fundos de investimento, unidades fiduciárias</w:t>
      </w:r>
      <w:r w:rsidR="005C4225">
        <w:rPr>
          <w:rFonts w:ascii="Times New Roman" w:hAnsi="Times New Roman" w:cs="Times New Roman"/>
          <w:color w:val="000000"/>
          <w:sz w:val="24"/>
          <w:lang w:val="pt-BR"/>
        </w:rPr>
        <w:t xml:space="preserve"> e entidades similares, de consolidar suas controladas.</w:t>
      </w:r>
    </w:p>
    <w:p w:rsidR="005C4225" w:rsidRPr="000747C3" w:rsidRDefault="005C4225" w:rsidP="000747C3">
      <w:pPr>
        <w:pStyle w:val="Textoembloco"/>
        <w:spacing w:before="0" w:after="0"/>
        <w:ind w:left="567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AB1202" w:rsidRPr="00AB1202" w:rsidRDefault="005C4225" w:rsidP="00AB1202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lang w:val="pt-BR"/>
        </w:rPr>
        <w:t xml:space="preserve">O grupo econômico de sociedades (controladora e controladas) deve utilizar </w:t>
      </w:r>
      <w:r w:rsidR="003734DE">
        <w:rPr>
          <w:rFonts w:ascii="Times New Roman" w:hAnsi="Times New Roman" w:cs="Times New Roman"/>
          <w:color w:val="000000"/>
          <w:sz w:val="24"/>
          <w:lang w:val="pt-BR"/>
        </w:rPr>
        <w:t>práticas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 contábeis uniformes para registrar e apresentar transações e outros eventos em circunstâncias similares. Se houver diferenças de </w:t>
      </w:r>
      <w:r w:rsidR="003734DE">
        <w:rPr>
          <w:rFonts w:ascii="Times New Roman" w:hAnsi="Times New Roman" w:cs="Times New Roman"/>
          <w:color w:val="000000"/>
          <w:sz w:val="24"/>
          <w:lang w:val="pt-BR"/>
        </w:rPr>
        <w:t>práticas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 contábeis</w:t>
      </w:r>
      <w:r w:rsidR="00FE3145">
        <w:rPr>
          <w:rFonts w:ascii="Times New Roman" w:hAnsi="Times New Roman" w:cs="Times New Roman"/>
          <w:color w:val="000000"/>
          <w:sz w:val="24"/>
          <w:lang w:val="pt-BR"/>
        </w:rPr>
        <w:t>,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 cabe à controladora refazer, para fins de consolidação, as demonstrações da(s) controlada(s) antes da consolidação. </w:t>
      </w:r>
    </w:p>
    <w:p w:rsidR="00AB1202" w:rsidRPr="00AB1202" w:rsidRDefault="00AB1202" w:rsidP="00AB1202">
      <w:pPr>
        <w:pStyle w:val="Textoembloco"/>
        <w:spacing w:before="0" w:after="0"/>
        <w:ind w:left="567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3734DE" w:rsidRPr="00AB1202" w:rsidRDefault="003734DE" w:rsidP="00AB1202">
      <w:pPr>
        <w:pStyle w:val="Textoembloco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As receitas e 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as 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despesas da controlada são incluídas nas demonstrações contábeis consolidadas a partir da data de aquisição </w:t>
      </w:r>
      <w:r w:rsidR="00AB1202">
        <w:rPr>
          <w:rFonts w:ascii="Times New Roman" w:hAnsi="Times New Roman" w:cs="Times New Roman"/>
          <w:color w:val="000000"/>
          <w:sz w:val="24"/>
          <w:lang w:val="pt-BR"/>
        </w:rPr>
        <w:t>e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 até a d</w:t>
      </w:r>
      <w:r w:rsidR="00AB1202">
        <w:rPr>
          <w:rFonts w:ascii="Times New Roman" w:hAnsi="Times New Roman" w:cs="Times New Roman"/>
          <w:color w:val="000000"/>
          <w:sz w:val="24"/>
          <w:lang w:val="pt-BR"/>
        </w:rPr>
        <w:t>ata em que a controladora perde</w:t>
      </w:r>
      <w:r w:rsidRPr="000721A3">
        <w:rPr>
          <w:rFonts w:ascii="Times New Roman" w:hAnsi="Times New Roman" w:cs="Times New Roman"/>
          <w:color w:val="000000"/>
          <w:sz w:val="24"/>
          <w:lang w:val="pt-BR"/>
        </w:rPr>
        <w:t xml:space="preserve"> o controle sobre essa controlada.</w:t>
      </w:r>
    </w:p>
    <w:p w:rsidR="005C4225" w:rsidRPr="00AB1202" w:rsidRDefault="005C4225" w:rsidP="00AB1202">
      <w:pPr>
        <w:pStyle w:val="Textoembloco"/>
        <w:spacing w:before="0" w:after="0"/>
        <w:ind w:left="567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Default="005C4225" w:rsidP="005C422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lang w:val="pt-BR"/>
        </w:rPr>
        <w:t>O efeito e os saldos das transações entre as entidades do grupo devem ser eliminados, tanto nos ativos, nos passivos quanto nas receitas e nas despesas. Os resultados derivados de operações com ativos que ainda estejam com uma entidade do grupo econômico precisam ser totalmente eliminados.</w:t>
      </w:r>
    </w:p>
    <w:p w:rsidR="005C4225" w:rsidRDefault="005C4225" w:rsidP="005C4225">
      <w:pPr>
        <w:pStyle w:val="Textoembloco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Default="005C4225" w:rsidP="00FE314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FE3145">
        <w:rPr>
          <w:rFonts w:ascii="Times New Roman" w:hAnsi="Times New Roman" w:cs="Times New Roman"/>
          <w:color w:val="000000"/>
          <w:sz w:val="24"/>
          <w:lang w:val="pt-BR"/>
        </w:rPr>
        <w:t xml:space="preserve">Ressalte-se que os resultados decorrentes de transações descendentes entre um investidor (incluindo suas controladas) e uma controlada devem ser eliminados totalmente do resultado da controladora (ou sua controlada se ela for a vendedora). </w:t>
      </w:r>
    </w:p>
    <w:p w:rsidR="00FE3145" w:rsidRPr="00FE3145" w:rsidRDefault="00FE3145" w:rsidP="00FE3145">
      <w:pPr>
        <w:pStyle w:val="Textoembloco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Pr="00C72AA6" w:rsidRDefault="005C4225" w:rsidP="005C422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D94060">
        <w:rPr>
          <w:rFonts w:ascii="Times New Roman" w:hAnsi="Times New Roman" w:cs="Times New Roman"/>
          <w:color w:val="000000"/>
          <w:sz w:val="24"/>
          <w:lang w:val="pt-BR"/>
        </w:rPr>
        <w:t>Os resultados decorrentes de transações</w:t>
      </w:r>
      <w:r w:rsidRPr="00B93147">
        <w:rPr>
          <w:rFonts w:ascii="Times New Roman" w:hAnsi="Times New Roman" w:cs="Times New Roman"/>
          <w:b/>
          <w:color w:val="000000"/>
          <w:sz w:val="24"/>
          <w:lang w:val="pt-BR"/>
        </w:rPr>
        <w:t xml:space="preserve"> </w:t>
      </w:r>
      <w:r w:rsidRPr="000747C3">
        <w:rPr>
          <w:rFonts w:ascii="Times New Roman" w:hAnsi="Times New Roman" w:cs="Times New Roman"/>
          <w:color w:val="000000"/>
          <w:sz w:val="24"/>
          <w:lang w:val="pt-BR"/>
        </w:rPr>
        <w:t>ascendentes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entre </w:t>
      </w:r>
      <w:r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pt-BR"/>
        </w:rPr>
        <w:t>controlada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pt-BR"/>
        </w:rPr>
        <w:t>controladora (ou para outras controladas da controladora) devem também ser totalmente eliminados at</w:t>
      </w:r>
      <w:r w:rsidR="00FE3145">
        <w:rPr>
          <w:rFonts w:ascii="Times New Roman" w:hAnsi="Times New Roman" w:cs="Times New Roman"/>
          <w:color w:val="000000"/>
          <w:sz w:val="24"/>
          <w:lang w:val="pt-BR"/>
        </w:rPr>
        <w:t xml:space="preserve">é 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 xml:space="preserve">a </w:t>
      </w:r>
      <w:r w:rsidR="00FE3145">
        <w:rPr>
          <w:rFonts w:ascii="Times New Roman" w:hAnsi="Times New Roman" w:cs="Times New Roman"/>
          <w:color w:val="000000"/>
          <w:sz w:val="24"/>
          <w:lang w:val="pt-BR"/>
        </w:rPr>
        <w:t>sua realização final pelo grupo econômico como um todo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. </w:t>
      </w:r>
    </w:p>
    <w:p w:rsidR="005C4225" w:rsidRPr="00850D5F" w:rsidRDefault="005C4225" w:rsidP="005C4225">
      <w:pPr>
        <w:widowControl w:val="0"/>
        <w:spacing w:before="0" w:after="0"/>
        <w:ind w:right="57"/>
        <w:rPr>
          <w:rFonts w:ascii="Times New Roman" w:hAnsi="Times New Roman"/>
          <w:bCs/>
          <w:iCs/>
          <w:color w:val="000000"/>
          <w:sz w:val="24"/>
          <w:lang w:val="pt-BR"/>
        </w:rPr>
      </w:pPr>
    </w:p>
    <w:p w:rsidR="000747C3" w:rsidRPr="000747C3" w:rsidRDefault="005C4225" w:rsidP="000747C3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color w:val="000000"/>
          <w:sz w:val="24"/>
          <w:lang w:val="pt-BR"/>
        </w:rPr>
      </w:pPr>
      <w:r w:rsidRPr="000747C3">
        <w:rPr>
          <w:rFonts w:ascii="Times New Roman" w:hAnsi="Times New Roman" w:cs="Times New Roman"/>
          <w:color w:val="000000"/>
          <w:sz w:val="24"/>
          <w:lang w:val="pt-BR"/>
        </w:rPr>
        <w:t xml:space="preserve">A participação dos não controladores deve ser apresentada no balanço patrimonial </w:t>
      </w:r>
      <w:r w:rsidRPr="000747C3">
        <w:rPr>
          <w:rFonts w:ascii="Times New Roman" w:hAnsi="Times New Roman" w:cs="Times New Roman"/>
          <w:color w:val="000000"/>
          <w:sz w:val="24"/>
          <w:lang w:val="pt-BR"/>
        </w:rPr>
        <w:lastRenderedPageBreak/>
        <w:t xml:space="preserve">consolidado dentro do patrimônio líquido, separadamente do patrimônio líquido dos proprietários da controladora. 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 xml:space="preserve">Parte do </w:t>
      </w:r>
      <w:r w:rsidR="000747C3" w:rsidRPr="000747C3">
        <w:rPr>
          <w:rFonts w:ascii="Times New Roman" w:hAnsi="Times New Roman" w:cs="Times New Roman"/>
          <w:color w:val="000000"/>
          <w:sz w:val="24"/>
          <w:lang w:val="pt-BR"/>
        </w:rPr>
        <w:t>resultado</w:t>
      </w:r>
      <w:r w:rsidRPr="000747C3">
        <w:rPr>
          <w:rFonts w:ascii="Times New Roman" w:hAnsi="Times New Roman" w:cs="Times New Roman"/>
          <w:color w:val="000000"/>
          <w:sz w:val="24"/>
          <w:lang w:val="pt-BR"/>
        </w:rPr>
        <w:t xml:space="preserve"> das controladas deve ser atribuído aos controladores e parte aos não controladores, pela participação efetiva de cada uma e independentemente de esses resultados tornarem negativa a participação dos não controladores. 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>Parte de t</w:t>
      </w:r>
      <w:r w:rsidR="00FE3145" w:rsidRPr="000747C3">
        <w:rPr>
          <w:rFonts w:ascii="Times New Roman" w:hAnsi="Times New Roman" w:cs="Times New Roman"/>
          <w:color w:val="000000"/>
          <w:sz w:val="24"/>
          <w:lang w:val="pt-BR"/>
        </w:rPr>
        <w:t>odos os outros resultados abrangentes também devem ser atribuídos</w:t>
      </w:r>
      <w:r w:rsidR="000747C3" w:rsidRPr="000747C3">
        <w:rPr>
          <w:rFonts w:ascii="Times New Roman" w:hAnsi="Times New Roman" w:cs="Times New Roman"/>
          <w:color w:val="000000"/>
          <w:sz w:val="24"/>
          <w:lang w:val="pt-BR"/>
        </w:rPr>
        <w:t xml:space="preserve"> aos controladores 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>e</w:t>
      </w:r>
      <w:r w:rsidR="00236ACF" w:rsidRPr="000747C3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 w:rsidR="000747C3" w:rsidRPr="000747C3">
        <w:rPr>
          <w:rFonts w:ascii="Times New Roman" w:hAnsi="Times New Roman" w:cs="Times New Roman"/>
          <w:color w:val="000000"/>
          <w:sz w:val="24"/>
          <w:lang w:val="pt-BR"/>
        </w:rPr>
        <w:t>parte aos não controladores.</w:t>
      </w:r>
      <w:r w:rsidR="00FE3145" w:rsidRPr="000747C3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</w:p>
    <w:p w:rsidR="000747C3" w:rsidRPr="000747C3" w:rsidRDefault="000747C3" w:rsidP="000747C3">
      <w:pPr>
        <w:pStyle w:val="Textoembloco"/>
        <w:spacing w:before="0" w:after="0"/>
        <w:ind w:left="567" w:firstLine="0"/>
        <w:jc w:val="both"/>
        <w:rPr>
          <w:rFonts w:ascii="Times New Roman" w:hAnsi="Times New Roman"/>
          <w:color w:val="000000"/>
          <w:sz w:val="24"/>
          <w:lang w:val="pt-BR"/>
        </w:rPr>
      </w:pPr>
    </w:p>
    <w:p w:rsidR="005C4225" w:rsidRDefault="005C4225" w:rsidP="005C422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lang w:val="pt-BR"/>
        </w:rPr>
        <w:t xml:space="preserve">As mudanças na relação de propriedade (absoluta ou relativa) da controladora em uma controlada que não impliquem a perda do controle devem ser contabilizadas dentro do patrimônio líquido, sem transitar pelo resultado. Por exemplo, aquisição de participações adicionais no patrimônio da controlada não implicam 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alteração no resultado e nem a geração de </w:t>
      </w:r>
      <w:r>
        <w:rPr>
          <w:rFonts w:ascii="Times New Roman" w:hAnsi="Times New Roman" w:cs="Times New Roman"/>
          <w:i/>
          <w:color w:val="000000"/>
          <w:sz w:val="24"/>
          <w:lang w:val="pt-BR"/>
        </w:rPr>
        <w:t>goodwill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 adicional; modificações no percentual de participação dessa natureza não geram ganhos ou perdas, sendo tais transações tratadas igualmente às transações geradoras de ações ou cotas de capital em tesouraria.</w:t>
      </w:r>
    </w:p>
    <w:p w:rsidR="005C4225" w:rsidRPr="001D4BC4" w:rsidRDefault="005C4225" w:rsidP="005C4225">
      <w:pPr>
        <w:widowControl w:val="0"/>
        <w:spacing w:before="0" w:after="0"/>
        <w:ind w:right="57"/>
        <w:rPr>
          <w:rFonts w:ascii="Times New Roman" w:hAnsi="Times New Roman"/>
          <w:bCs/>
          <w:iCs/>
          <w:color w:val="000000"/>
          <w:sz w:val="24"/>
          <w:lang w:val="pt-BR"/>
        </w:rPr>
      </w:pPr>
    </w:p>
    <w:p w:rsidR="005C4225" w:rsidRDefault="005C4225" w:rsidP="005C422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lang w:val="pt-BR"/>
        </w:rPr>
        <w:t xml:space="preserve">Quando </w:t>
      </w:r>
      <w:r w:rsidR="000747C3">
        <w:rPr>
          <w:rFonts w:ascii="Times New Roman" w:hAnsi="Times New Roman" w:cs="Times New Roman"/>
          <w:color w:val="000000"/>
          <w:sz w:val="24"/>
          <w:lang w:val="pt-BR"/>
        </w:rPr>
        <w:t>a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 entidade perde o controle sobre uma controlada, ela deixa de reconhecer os ativos e os passivos da ex-controlada, inclusive </w:t>
      </w:r>
      <w:r w:rsidRPr="00457E57">
        <w:rPr>
          <w:rFonts w:ascii="Times New Roman" w:hAnsi="Times New Roman" w:cs="Times New Roman"/>
          <w:i/>
          <w:color w:val="000000"/>
          <w:sz w:val="24"/>
          <w:lang w:val="pt-BR"/>
        </w:rPr>
        <w:t>goodwill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lang w:val="pt-BR"/>
        </w:rPr>
        <w:t>se houver, bem como os componentes de patrimônio líquido relacionados. Qualquer ganho ou perda decorrente deve ser reconhecido no resultado do período. O investimento remanescente na ex-controlada deve ser mensurado pelo seu valor justo na data em que o controle for perdido.</w:t>
      </w:r>
    </w:p>
    <w:p w:rsidR="005C4225" w:rsidRDefault="005C4225" w:rsidP="005C4225">
      <w:pPr>
        <w:pStyle w:val="Textoembloco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Pr="009D365E" w:rsidRDefault="005C4225" w:rsidP="005C422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lang w:val="pt-BR"/>
        </w:rPr>
        <w:t>A defasagem máxima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entre as datas de encerramento das demonstrações da </w:t>
      </w:r>
      <w:r>
        <w:rPr>
          <w:rFonts w:ascii="Times New Roman" w:hAnsi="Times New Roman" w:cs="Times New Roman"/>
          <w:color w:val="000000"/>
          <w:sz w:val="24"/>
          <w:lang w:val="pt-BR"/>
        </w:rPr>
        <w:t>controlada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e d</w:t>
      </w:r>
      <w:r>
        <w:rPr>
          <w:rFonts w:ascii="Times New Roman" w:hAnsi="Times New Roman" w:cs="Times New Roman"/>
          <w:color w:val="000000"/>
          <w:sz w:val="24"/>
          <w:lang w:val="pt-BR"/>
        </w:rPr>
        <w:t>a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pt-BR"/>
        </w:rPr>
        <w:t>controladora não deve ser superior a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pt-BR"/>
        </w:rPr>
        <w:t>dois</w:t>
      </w:r>
      <w:r w:rsidRPr="00D94060">
        <w:rPr>
          <w:rFonts w:ascii="Times New Roman" w:hAnsi="Times New Roman" w:cs="Times New Roman"/>
          <w:color w:val="000000"/>
          <w:sz w:val="24"/>
          <w:lang w:val="pt-BR"/>
        </w:rPr>
        <w:t xml:space="preserve"> meses</w:t>
      </w:r>
      <w:r>
        <w:rPr>
          <w:rFonts w:ascii="Times New Roman" w:hAnsi="Times New Roman" w:cs="Times New Roman"/>
          <w:color w:val="000000"/>
          <w:sz w:val="24"/>
          <w:lang w:val="pt-BR"/>
        </w:rPr>
        <w:t>, devendo ser considerados os efeitos de transações relevantes nesse período.</w:t>
      </w:r>
    </w:p>
    <w:p w:rsidR="005C4225" w:rsidRDefault="005C4225" w:rsidP="005C4225">
      <w:pPr>
        <w:pStyle w:val="Textoembloco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Default="005C4225" w:rsidP="005C422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lang w:val="pt-BR"/>
        </w:rPr>
        <w:t>A entidade deve divulgar informações acerca da natureza da relação entre a controladora e suas controladas</w:t>
      </w:r>
      <w:r w:rsidR="00236ACF">
        <w:rPr>
          <w:rFonts w:ascii="Times New Roman" w:hAnsi="Times New Roman" w:cs="Times New Roman"/>
          <w:color w:val="000000"/>
          <w:sz w:val="24"/>
          <w:lang w:val="pt-BR"/>
        </w:rPr>
        <w:t>,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 bem como outras exigidas pelo Pronunciamento.</w:t>
      </w:r>
    </w:p>
    <w:p w:rsidR="005C4225" w:rsidRDefault="005C4225" w:rsidP="005C4225">
      <w:pPr>
        <w:pStyle w:val="Textoembloco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5C4225" w:rsidRDefault="005C4225" w:rsidP="005C4225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lang w:val="pt-BR"/>
        </w:rPr>
        <w:t xml:space="preserve">A investidora pode também preparar demonstrações separadas para investimentos em controladas. As exigências para a preparação das demonstrações separadas de um investidor são aquelas estabelecidas no </w:t>
      </w:r>
      <w:r w:rsidRPr="009D2AFB">
        <w:rPr>
          <w:rFonts w:ascii="Times New Roman" w:hAnsi="Times New Roman" w:cs="Times New Roman"/>
          <w:color w:val="000000"/>
          <w:sz w:val="24"/>
          <w:lang w:val="pt-BR"/>
        </w:rPr>
        <w:t>Pronunciamento Técnico CPC</w:t>
      </w:r>
      <w:r>
        <w:rPr>
          <w:rFonts w:ascii="Times New Roman" w:hAnsi="Times New Roman" w:cs="Times New Roman"/>
          <w:color w:val="000000"/>
          <w:sz w:val="24"/>
          <w:lang w:val="pt-BR"/>
        </w:rPr>
        <w:t xml:space="preserve"> 35 - </w:t>
      </w:r>
      <w:r w:rsidRPr="00EF7EEF">
        <w:rPr>
          <w:rFonts w:ascii="Times New Roman" w:hAnsi="Times New Roman" w:cs="Times New Roman"/>
          <w:color w:val="000000"/>
          <w:sz w:val="24"/>
          <w:lang w:val="pt-BR"/>
        </w:rPr>
        <w:t xml:space="preserve">Demonstrações </w:t>
      </w:r>
      <w:r>
        <w:rPr>
          <w:rFonts w:ascii="Times New Roman" w:hAnsi="Times New Roman" w:cs="Times New Roman"/>
          <w:color w:val="000000"/>
          <w:sz w:val="24"/>
          <w:lang w:val="pt-BR"/>
        </w:rPr>
        <w:t>Separad</w:t>
      </w:r>
      <w:r w:rsidRPr="00EF7EEF">
        <w:rPr>
          <w:rFonts w:ascii="Times New Roman" w:hAnsi="Times New Roman" w:cs="Times New Roman"/>
          <w:color w:val="000000"/>
          <w:sz w:val="24"/>
          <w:lang w:val="pt-BR"/>
        </w:rPr>
        <w:t>as</w:t>
      </w:r>
      <w:r>
        <w:rPr>
          <w:rFonts w:ascii="Times New Roman" w:hAnsi="Times New Roman" w:cs="Times New Roman"/>
          <w:color w:val="000000"/>
          <w:sz w:val="24"/>
          <w:lang w:val="pt-BR"/>
        </w:rPr>
        <w:t>.</w:t>
      </w:r>
    </w:p>
    <w:p w:rsidR="005C4225" w:rsidRDefault="005C4225" w:rsidP="005C4225">
      <w:pPr>
        <w:pStyle w:val="Textoembloco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</w:p>
    <w:p w:rsidR="000747C3" w:rsidRPr="00CF5B72" w:rsidRDefault="000747C3" w:rsidP="000747C3">
      <w:pPr>
        <w:pStyle w:val="Textoembloco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lang w:val="pt-BR"/>
        </w:rPr>
      </w:pPr>
      <w:r w:rsidRPr="00CF5B72">
        <w:rPr>
          <w:rFonts w:ascii="Times New Roman" w:hAnsi="Times New Roman" w:cs="Times New Roman"/>
          <w:color w:val="000000"/>
          <w:sz w:val="24"/>
          <w:lang w:val="pt-BR"/>
        </w:rPr>
        <w:t>A Interpretação Técnica CPC 09 - Demonstrações Contábeis Individuais, Demonstrações Separadas, Demonstrações Consolidadas e Aplicação do Método de Equivalência Patrimonial traz mais detalhes sobre investimentos em coligadas, em controladas e também em entidades controladas em conjunto (</w:t>
      </w:r>
      <w:r w:rsidRPr="000747C3">
        <w:rPr>
          <w:rFonts w:ascii="Times New Roman" w:hAnsi="Times New Roman" w:cs="Times New Roman"/>
          <w:i/>
          <w:color w:val="000000"/>
          <w:sz w:val="24"/>
          <w:lang w:val="pt-BR"/>
        </w:rPr>
        <w:t>joint</w:t>
      </w:r>
      <w:r w:rsidRPr="00CF5B72">
        <w:rPr>
          <w:rFonts w:ascii="Times New Roman" w:hAnsi="Times New Roman" w:cs="Times New Roman"/>
          <w:color w:val="000000"/>
          <w:sz w:val="24"/>
          <w:lang w:val="pt-BR"/>
        </w:rPr>
        <w:t xml:space="preserve"> </w:t>
      </w:r>
      <w:r w:rsidRPr="000747C3">
        <w:rPr>
          <w:rFonts w:ascii="Times New Roman" w:hAnsi="Times New Roman" w:cs="Times New Roman"/>
          <w:i/>
          <w:color w:val="000000"/>
          <w:sz w:val="24"/>
          <w:lang w:val="pt-BR"/>
        </w:rPr>
        <w:t>ventures</w:t>
      </w:r>
      <w:r w:rsidRPr="00CF5B72">
        <w:rPr>
          <w:rFonts w:ascii="Times New Roman" w:hAnsi="Times New Roman" w:cs="Times New Roman"/>
          <w:color w:val="000000"/>
          <w:sz w:val="24"/>
          <w:lang w:val="pt-BR"/>
        </w:rPr>
        <w:t>), bem como sobre demonstrações separadas e demonstrações consolidadas.</w:t>
      </w:r>
    </w:p>
    <w:p w:rsidR="005C4225" w:rsidRDefault="005C4225" w:rsidP="005C4225">
      <w:pPr>
        <w:pStyle w:val="Textoembloco"/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lang w:val="pt-BR"/>
        </w:rPr>
      </w:pPr>
    </w:p>
    <w:sectPr w:rsidR="005C4225" w:rsidSect="005C422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41" w:rsidRDefault="00C16E41">
      <w:r>
        <w:separator/>
      </w:r>
    </w:p>
  </w:endnote>
  <w:endnote w:type="continuationSeparator" w:id="0">
    <w:p w:rsidR="00C16E41" w:rsidRDefault="00C1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25" w:rsidRDefault="005C4225" w:rsidP="005C42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4225" w:rsidRDefault="005C4225" w:rsidP="005C422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25" w:rsidRDefault="005C4225" w:rsidP="005C42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4E0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C4225" w:rsidRDefault="005C4225" w:rsidP="005C422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41" w:rsidRDefault="00C16E41">
      <w:r>
        <w:separator/>
      </w:r>
    </w:p>
  </w:footnote>
  <w:footnote w:type="continuationSeparator" w:id="0">
    <w:p w:rsidR="00C16E41" w:rsidRDefault="00C1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25" w:rsidRDefault="00B14E0E" w:rsidP="005C4225">
    <w:pPr>
      <w:pStyle w:val="Cabealho"/>
      <w:jc w:val="center"/>
    </w:pPr>
    <w:r>
      <w:rPr>
        <w:noProof/>
        <w:lang w:val="pt-BR"/>
      </w:rPr>
      <w:drawing>
        <wp:inline distT="0" distB="0" distL="0" distR="0">
          <wp:extent cx="1025525" cy="644525"/>
          <wp:effectExtent l="19050" t="0" r="3175" b="0"/>
          <wp:docPr id="2" name="Imagem 2" descr="logo_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25" w:rsidRDefault="00B14E0E" w:rsidP="005C4225">
    <w:pPr>
      <w:pStyle w:val="Cabealho"/>
      <w:jc w:val="center"/>
    </w:pPr>
    <w:r>
      <w:rPr>
        <w:noProof/>
        <w:lang w:val="pt-BR"/>
      </w:rPr>
      <w:drawing>
        <wp:inline distT="0" distB="0" distL="0" distR="0">
          <wp:extent cx="1025525" cy="644525"/>
          <wp:effectExtent l="19050" t="0" r="3175" b="0"/>
          <wp:docPr id="1" name="Imagem 1" descr="logo_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1C1"/>
    <w:multiLevelType w:val="hybridMultilevel"/>
    <w:tmpl w:val="5172E480"/>
    <w:lvl w:ilvl="0" w:tplc="3E78DBBA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B0C2D"/>
    <w:multiLevelType w:val="hybridMultilevel"/>
    <w:tmpl w:val="43FED82C"/>
    <w:lvl w:ilvl="0" w:tplc="61789CEA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27276"/>
    <w:multiLevelType w:val="hybridMultilevel"/>
    <w:tmpl w:val="B492C6DC"/>
    <w:lvl w:ilvl="0" w:tplc="B56A171C">
      <w:start w:val="201"/>
      <w:numFmt w:val="decimal"/>
      <w:lvlText w:val="F%1."/>
      <w:lvlJc w:val="left"/>
      <w:pPr>
        <w:tabs>
          <w:tab w:val="num" w:pos="726"/>
        </w:tabs>
        <w:ind w:left="726" w:hanging="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D7237"/>
    <w:multiLevelType w:val="hybridMultilevel"/>
    <w:tmpl w:val="EBD86A80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417E7"/>
    <w:multiLevelType w:val="hybridMultilevel"/>
    <w:tmpl w:val="3904B09C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02F71"/>
    <w:multiLevelType w:val="hybridMultilevel"/>
    <w:tmpl w:val="A272791E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D2DBB"/>
    <w:multiLevelType w:val="hybridMultilevel"/>
    <w:tmpl w:val="744E3092"/>
    <w:lvl w:ilvl="0" w:tplc="8DB4B552">
      <w:start w:val="1"/>
      <w:numFmt w:val="decimal"/>
      <w:lvlText w:val="B%1."/>
      <w:lvlJc w:val="left"/>
      <w:pPr>
        <w:tabs>
          <w:tab w:val="num" w:pos="727"/>
        </w:tabs>
        <w:ind w:left="727" w:hanging="54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abstractNum w:abstractNumId="8">
    <w:nsid w:val="1E304655"/>
    <w:multiLevelType w:val="hybridMultilevel"/>
    <w:tmpl w:val="DD164DC8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1AB05A3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91491"/>
    <w:multiLevelType w:val="hybridMultilevel"/>
    <w:tmpl w:val="8270960C"/>
    <w:lvl w:ilvl="0" w:tplc="3E78DBBA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A48CC"/>
    <w:multiLevelType w:val="hybridMultilevel"/>
    <w:tmpl w:val="EFD8C986"/>
    <w:lvl w:ilvl="0" w:tplc="3E78DBBA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11649"/>
    <w:multiLevelType w:val="hybridMultilevel"/>
    <w:tmpl w:val="56320CA6"/>
    <w:lvl w:ilvl="0" w:tplc="862E2C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32048"/>
    <w:multiLevelType w:val="hybridMultilevel"/>
    <w:tmpl w:val="2168F7B0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B16B0"/>
    <w:multiLevelType w:val="hybridMultilevel"/>
    <w:tmpl w:val="46E2AED2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81465"/>
    <w:multiLevelType w:val="hybridMultilevel"/>
    <w:tmpl w:val="E05E2222"/>
    <w:lvl w:ilvl="0" w:tplc="001ED362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A29FD"/>
    <w:multiLevelType w:val="hybridMultilevel"/>
    <w:tmpl w:val="00762C78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17874"/>
    <w:multiLevelType w:val="hybridMultilevel"/>
    <w:tmpl w:val="808ACE4A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66DCD"/>
    <w:multiLevelType w:val="hybridMultilevel"/>
    <w:tmpl w:val="1F4E5AF2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A3B50"/>
    <w:multiLevelType w:val="hybridMultilevel"/>
    <w:tmpl w:val="4D2C1544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90752"/>
    <w:multiLevelType w:val="hybridMultilevel"/>
    <w:tmpl w:val="EA8E0526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A00FC"/>
    <w:multiLevelType w:val="multilevel"/>
    <w:tmpl w:val="C040D0BE"/>
    <w:lvl w:ilvl="0">
      <w:start w:val="1"/>
      <w:numFmt w:val="decimal"/>
      <w:lvlText w:val="D%1."/>
      <w:lvlJc w:val="left"/>
      <w:pPr>
        <w:tabs>
          <w:tab w:val="num" w:pos="726"/>
        </w:tabs>
        <w:ind w:left="726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15FC9"/>
    <w:multiLevelType w:val="hybridMultilevel"/>
    <w:tmpl w:val="ED044F8E"/>
    <w:lvl w:ilvl="0" w:tplc="208AB006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15300"/>
    <w:multiLevelType w:val="hybridMultilevel"/>
    <w:tmpl w:val="138AF684"/>
    <w:lvl w:ilvl="0" w:tplc="B248140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423E3"/>
    <w:multiLevelType w:val="hybridMultilevel"/>
    <w:tmpl w:val="E41E111A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DF60DC"/>
    <w:multiLevelType w:val="hybridMultilevel"/>
    <w:tmpl w:val="0802A0FA"/>
    <w:lvl w:ilvl="0" w:tplc="CA4C5138">
      <w:start w:val="1"/>
      <w:numFmt w:val="decimal"/>
      <w:lvlText w:val="C%1."/>
      <w:lvlJc w:val="left"/>
      <w:pPr>
        <w:tabs>
          <w:tab w:val="num" w:pos="726"/>
        </w:tabs>
        <w:ind w:left="726" w:hanging="54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948ED"/>
    <w:multiLevelType w:val="hybridMultilevel"/>
    <w:tmpl w:val="D4A667FA"/>
    <w:lvl w:ilvl="0" w:tplc="4F969AB8">
      <w:start w:val="1"/>
      <w:numFmt w:val="decimal"/>
      <w:lvlText w:val="D%1."/>
      <w:lvlJc w:val="left"/>
      <w:pPr>
        <w:tabs>
          <w:tab w:val="num" w:pos="726"/>
        </w:tabs>
        <w:ind w:left="726" w:hanging="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B4A84"/>
    <w:multiLevelType w:val="hybridMultilevel"/>
    <w:tmpl w:val="C79409F4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4482"/>
    <w:multiLevelType w:val="hybridMultilevel"/>
    <w:tmpl w:val="C0F87414"/>
    <w:lvl w:ilvl="0" w:tplc="3E78DBBA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64CC9"/>
    <w:multiLevelType w:val="hybridMultilevel"/>
    <w:tmpl w:val="14A8E51C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F25F2"/>
    <w:multiLevelType w:val="hybridMultilevel"/>
    <w:tmpl w:val="D9868546"/>
    <w:lvl w:ilvl="0" w:tplc="3E78DBBA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C1CF7"/>
    <w:multiLevelType w:val="hybridMultilevel"/>
    <w:tmpl w:val="C040D0BE"/>
    <w:lvl w:ilvl="0" w:tplc="4F969AB8">
      <w:start w:val="1"/>
      <w:numFmt w:val="decimal"/>
      <w:lvlText w:val="D%1."/>
      <w:lvlJc w:val="left"/>
      <w:pPr>
        <w:tabs>
          <w:tab w:val="num" w:pos="726"/>
        </w:tabs>
        <w:ind w:left="726" w:hanging="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042FE2"/>
    <w:multiLevelType w:val="hybridMultilevel"/>
    <w:tmpl w:val="7C263894"/>
    <w:lvl w:ilvl="0" w:tplc="599AF556">
      <w:start w:val="1"/>
      <w:numFmt w:val="decimal"/>
      <w:lvlText w:val="F%1."/>
      <w:lvlJc w:val="left"/>
      <w:pPr>
        <w:tabs>
          <w:tab w:val="num" w:pos="726"/>
        </w:tabs>
        <w:ind w:left="726" w:hanging="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44021"/>
    <w:multiLevelType w:val="hybridMultilevel"/>
    <w:tmpl w:val="D0A4E052"/>
    <w:lvl w:ilvl="0" w:tplc="3E78DBBA">
      <w:start w:val="1"/>
      <w:numFmt w:val="lowerRoman"/>
      <w:lvlText w:val="(%1)"/>
      <w:lvlJc w:val="left"/>
      <w:pPr>
        <w:tabs>
          <w:tab w:val="num" w:pos="1797"/>
        </w:tabs>
        <w:ind w:left="1797" w:hanging="72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463F5"/>
    <w:multiLevelType w:val="hybridMultilevel"/>
    <w:tmpl w:val="090A4364"/>
    <w:lvl w:ilvl="0" w:tplc="862E2C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672"/>
        </w:tabs>
        <w:ind w:left="-6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8"/>
        </w:tabs>
        <w:ind w:left="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68"/>
        </w:tabs>
        <w:ind w:left="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88"/>
        </w:tabs>
        <w:ind w:left="1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208"/>
        </w:tabs>
        <w:ind w:left="2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928"/>
        </w:tabs>
        <w:ind w:left="2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48"/>
        </w:tabs>
        <w:ind w:left="3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180"/>
      </w:pPr>
    </w:lvl>
  </w:abstractNum>
  <w:abstractNum w:abstractNumId="34">
    <w:nsid w:val="774449BA"/>
    <w:multiLevelType w:val="hybridMultilevel"/>
    <w:tmpl w:val="B6D6DFD8"/>
    <w:lvl w:ilvl="0" w:tplc="0C30FC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  <w:lang w:val="pt-PT"/>
      </w:rPr>
    </w:lvl>
    <w:lvl w:ilvl="1" w:tplc="3B1E6316">
      <w:start w:val="1"/>
      <w:numFmt w:val="lowerLetter"/>
      <w:lvlText w:val="(%2)"/>
      <w:lvlJc w:val="left"/>
      <w:pPr>
        <w:tabs>
          <w:tab w:val="num" w:pos="663"/>
        </w:tabs>
        <w:ind w:left="663" w:hanging="360"/>
      </w:pPr>
      <w:rPr>
        <w:rFonts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E84485"/>
    <w:multiLevelType w:val="hybridMultilevel"/>
    <w:tmpl w:val="AA32E34C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16676"/>
    <w:multiLevelType w:val="multilevel"/>
    <w:tmpl w:val="7C263894"/>
    <w:lvl w:ilvl="0">
      <w:start w:val="1"/>
      <w:numFmt w:val="decimal"/>
      <w:lvlText w:val="F%1."/>
      <w:lvlJc w:val="left"/>
      <w:pPr>
        <w:tabs>
          <w:tab w:val="num" w:pos="726"/>
        </w:tabs>
        <w:ind w:left="726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E006C0"/>
    <w:multiLevelType w:val="hybridMultilevel"/>
    <w:tmpl w:val="4F06FDA4"/>
    <w:lvl w:ilvl="0" w:tplc="98BA819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7"/>
  </w:num>
  <w:num w:numId="3">
    <w:abstractNumId w:val="33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28"/>
  </w:num>
  <w:num w:numId="9">
    <w:abstractNumId w:val="13"/>
  </w:num>
  <w:num w:numId="10">
    <w:abstractNumId w:val="17"/>
  </w:num>
  <w:num w:numId="11">
    <w:abstractNumId w:val="19"/>
  </w:num>
  <w:num w:numId="12">
    <w:abstractNumId w:val="35"/>
  </w:num>
  <w:num w:numId="13">
    <w:abstractNumId w:val="18"/>
  </w:num>
  <w:num w:numId="14">
    <w:abstractNumId w:val="26"/>
  </w:num>
  <w:num w:numId="15">
    <w:abstractNumId w:val="15"/>
  </w:num>
  <w:num w:numId="16">
    <w:abstractNumId w:val="22"/>
  </w:num>
  <w:num w:numId="17">
    <w:abstractNumId w:val="5"/>
  </w:num>
  <w:num w:numId="18">
    <w:abstractNumId w:val="23"/>
  </w:num>
  <w:num w:numId="19">
    <w:abstractNumId w:val="16"/>
  </w:num>
  <w:num w:numId="20">
    <w:abstractNumId w:val="24"/>
  </w:num>
  <w:num w:numId="21">
    <w:abstractNumId w:val="3"/>
  </w:num>
  <w:num w:numId="22">
    <w:abstractNumId w:val="37"/>
  </w:num>
  <w:num w:numId="23">
    <w:abstractNumId w:val="14"/>
  </w:num>
  <w:num w:numId="24">
    <w:abstractNumId w:val="21"/>
  </w:num>
  <w:num w:numId="25">
    <w:abstractNumId w:val="1"/>
  </w:num>
  <w:num w:numId="26">
    <w:abstractNumId w:val="0"/>
  </w:num>
  <w:num w:numId="27">
    <w:abstractNumId w:val="29"/>
  </w:num>
  <w:num w:numId="28">
    <w:abstractNumId w:val="27"/>
  </w:num>
  <w:num w:numId="29">
    <w:abstractNumId w:val="25"/>
  </w:num>
  <w:num w:numId="30">
    <w:abstractNumId w:val="32"/>
  </w:num>
  <w:num w:numId="31">
    <w:abstractNumId w:val="9"/>
  </w:num>
  <w:num w:numId="32">
    <w:abstractNumId w:val="10"/>
  </w:num>
  <w:num w:numId="33">
    <w:abstractNumId w:val="30"/>
  </w:num>
  <w:num w:numId="34">
    <w:abstractNumId w:val="20"/>
  </w:num>
  <w:num w:numId="35">
    <w:abstractNumId w:val="31"/>
  </w:num>
  <w:num w:numId="36">
    <w:abstractNumId w:val="36"/>
  </w:num>
  <w:num w:numId="37">
    <w:abstractNumId w:val="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A03"/>
    <w:rsid w:val="000747C3"/>
    <w:rsid w:val="000F4537"/>
    <w:rsid w:val="00102CCA"/>
    <w:rsid w:val="0017730D"/>
    <w:rsid w:val="00236ACF"/>
    <w:rsid w:val="002E07F8"/>
    <w:rsid w:val="00325925"/>
    <w:rsid w:val="00361D62"/>
    <w:rsid w:val="003734DE"/>
    <w:rsid w:val="00420497"/>
    <w:rsid w:val="00585201"/>
    <w:rsid w:val="005C4225"/>
    <w:rsid w:val="006E17E5"/>
    <w:rsid w:val="0082422D"/>
    <w:rsid w:val="00AA7800"/>
    <w:rsid w:val="00AB1202"/>
    <w:rsid w:val="00B14E0E"/>
    <w:rsid w:val="00C16E41"/>
    <w:rsid w:val="00CB14AA"/>
    <w:rsid w:val="00EB7CAF"/>
    <w:rsid w:val="00EE2269"/>
    <w:rsid w:val="00F6628C"/>
    <w:rsid w:val="00FD6A05"/>
    <w:rsid w:val="00FE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32"/>
    <w:pPr>
      <w:spacing w:before="120" w:after="120"/>
      <w:jc w:val="both"/>
    </w:pPr>
    <w:rPr>
      <w:rFonts w:ascii="Arial" w:hAnsi="Arial"/>
      <w:szCs w:val="24"/>
      <w:lang w:val="pt-PT"/>
    </w:rPr>
  </w:style>
  <w:style w:type="paragraph" w:styleId="Ttulo1">
    <w:name w:val="heading 1"/>
    <w:basedOn w:val="Normal"/>
    <w:qFormat/>
    <w:rsid w:val="007D7285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2E6A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E6A0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B4D6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E6A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E6A03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qFormat/>
    <w:rsid w:val="007D7285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rsid w:val="002E6A03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rFonts w:cs="Arial"/>
    </w:rPr>
  </w:style>
  <w:style w:type="paragraph" w:styleId="Cabealho">
    <w:name w:val="header"/>
    <w:basedOn w:val="Normal"/>
    <w:rsid w:val="002E6A0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E6A03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Fontepargpadro"/>
    <w:semiHidden/>
    <w:rsid w:val="002E6A03"/>
    <w:rPr>
      <w:sz w:val="16"/>
    </w:rPr>
  </w:style>
  <w:style w:type="paragraph" w:styleId="Textodecomentrio">
    <w:name w:val="annotation text"/>
    <w:basedOn w:val="Normal"/>
    <w:semiHidden/>
    <w:rsid w:val="002E6A03"/>
    <w:pPr>
      <w:spacing w:before="0" w:after="0"/>
    </w:pPr>
    <w:rPr>
      <w:rFonts w:ascii="Times New Roman" w:hAnsi="Times New Roman"/>
      <w:szCs w:val="20"/>
      <w:lang w:val="pt-BR" w:eastAsia="en-US"/>
    </w:rPr>
  </w:style>
  <w:style w:type="paragraph" w:styleId="Textodebalo">
    <w:name w:val="Balloon Text"/>
    <w:basedOn w:val="Normal"/>
    <w:semiHidden/>
    <w:rsid w:val="002E6A03"/>
    <w:rPr>
      <w:rFonts w:ascii="Tahoma" w:hAnsi="Tahoma" w:cs="Tahoma"/>
      <w:sz w:val="16"/>
      <w:szCs w:val="16"/>
    </w:rPr>
  </w:style>
  <w:style w:type="paragraph" w:customStyle="1" w:styleId="Normalindent">
    <w:name w:val="Normal indent"/>
    <w:basedOn w:val="Normal"/>
    <w:rsid w:val="002E6A03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rsid w:val="00EF6CC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semiHidden/>
    <w:rsid w:val="00D4325D"/>
    <w:pPr>
      <w:spacing w:before="120" w:after="120"/>
    </w:pPr>
    <w:rPr>
      <w:rFonts w:ascii="Arial" w:hAnsi="Arial"/>
      <w:b/>
      <w:bCs/>
      <w:lang w:val="pt-PT" w:eastAsia="pt-BR"/>
    </w:rPr>
  </w:style>
  <w:style w:type="paragraph" w:styleId="Corpodetexto">
    <w:name w:val="Body Text"/>
    <w:basedOn w:val="Normal"/>
    <w:rsid w:val="007D7285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grame">
    <w:name w:val="grame"/>
    <w:basedOn w:val="Fontepargpadro"/>
    <w:rsid w:val="007D7285"/>
  </w:style>
  <w:style w:type="character" w:customStyle="1" w:styleId="spelle">
    <w:name w:val="spelle"/>
    <w:basedOn w:val="Fontepargpadro"/>
    <w:rsid w:val="007D7285"/>
  </w:style>
  <w:style w:type="character" w:styleId="Refdenotaderodap">
    <w:name w:val="footnote reference"/>
    <w:basedOn w:val="Fontepargpadro"/>
    <w:rsid w:val="007D7285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rsid w:val="007D7285"/>
    <w:pPr>
      <w:spacing w:before="0" w:after="0"/>
    </w:pPr>
    <w:rPr>
      <w:rFonts w:ascii="Times New Roman" w:hAnsi="Times New Roman"/>
      <w:szCs w:val="20"/>
      <w:lang w:val="pt-BR"/>
    </w:rPr>
  </w:style>
  <w:style w:type="paragraph" w:customStyle="1" w:styleId="paragraph">
    <w:name w:val="paragraph"/>
    <w:basedOn w:val="Normal"/>
    <w:next w:val="Normal"/>
    <w:rsid w:val="00705052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table" w:styleId="Tabelacomgrade">
    <w:name w:val="Table Grid"/>
    <w:basedOn w:val="Tabelanormal"/>
    <w:rsid w:val="0004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90704"/>
  </w:style>
  <w:style w:type="paragraph" w:customStyle="1" w:styleId="normal0">
    <w:name w:val="normal"/>
    <w:basedOn w:val="Normal"/>
    <w:rsid w:val="00865B0E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865B0E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865B0E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rsid w:val="00865B0E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paragraph" w:styleId="Recuodecorpodetexto2">
    <w:name w:val="Body Text Indent 2"/>
    <w:basedOn w:val="Normal"/>
    <w:rsid w:val="00865B0E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paragraph" w:customStyle="1" w:styleId="15-BulletNvel1">
    <w:name w:val="15 - «Bullet» Nível 1"/>
    <w:basedOn w:val="Normal"/>
    <w:rsid w:val="00865B0E"/>
    <w:pPr>
      <w:numPr>
        <w:numId w:val="2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basedOn w:val="Fontepargpadro"/>
    <w:rsid w:val="00F353C9"/>
    <w:rPr>
      <w:color w:val="008000"/>
      <w:u w:val="single"/>
    </w:rPr>
  </w:style>
  <w:style w:type="paragraph" w:customStyle="1" w:styleId="IASBNormal">
    <w:name w:val="IASB Normal"/>
    <w:rsid w:val="001B5F12"/>
    <w:pPr>
      <w:spacing w:before="100" w:after="100"/>
      <w:jc w:val="both"/>
    </w:pPr>
    <w:rPr>
      <w:sz w:val="19"/>
      <w:lang w:val="en-US" w:eastAsia="en-US"/>
    </w:rPr>
  </w:style>
  <w:style w:type="paragraph" w:customStyle="1" w:styleId="IASBNormalArial">
    <w:name w:val="IASB Normal Arial"/>
    <w:basedOn w:val="IASBNormal"/>
    <w:rsid w:val="001B5F12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1B5F12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1B5F12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1B5F12"/>
    <w:rPr>
      <w:i/>
    </w:rPr>
  </w:style>
  <w:style w:type="paragraph" w:customStyle="1" w:styleId="IASBFootnoteText">
    <w:name w:val="IASB Footnote Text"/>
    <w:basedOn w:val="IASBNormal"/>
    <w:rsid w:val="001B5F12"/>
    <w:pPr>
      <w:spacing w:before="0" w:after="60"/>
      <w:ind w:left="284" w:hanging="284"/>
    </w:pPr>
    <w:rPr>
      <w:sz w:val="16"/>
    </w:rPr>
  </w:style>
  <w:style w:type="table" w:customStyle="1" w:styleId="IASBInsideTable">
    <w:name w:val="IASB Inside Table"/>
    <w:rsid w:val="001B5F12"/>
    <w:tblPr>
      <w:tblOverlap w:val="never"/>
      <w:tblCellMar>
        <w:top w:w="10" w:type="dxa"/>
        <w:left w:w="50" w:type="dxa"/>
        <w:bottom w:w="5" w:type="dxa"/>
        <w:right w:w="50" w:type="dxa"/>
      </w:tblCellMar>
    </w:tblPr>
  </w:style>
  <w:style w:type="paragraph" w:customStyle="1" w:styleId="DaveIASBSubsectionTitle">
    <w:name w:val="Dave IASB Subsection Title"/>
    <w:basedOn w:val="IASBTitle"/>
    <w:rsid w:val="001B5F12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semiHidden/>
    <w:rsid w:val="00E62319"/>
    <w:pPr>
      <w:shd w:val="clear" w:color="auto" w:fill="000080"/>
    </w:pPr>
    <w:rPr>
      <w:rFonts w:ascii="Tahoma" w:hAnsi="Tahoma" w:cs="Tahoma"/>
    </w:rPr>
  </w:style>
  <w:style w:type="paragraph" w:customStyle="1" w:styleId="ZchnZchnCharCharZchnZchnCharCharZchnZchnCharCharZchnZchn1CharCharZchnZchnCharChar">
    <w:name w:val=" Zchn Zchn Char Char Zchn Zchn Char Char Zchn Zchn Char Char Zchn Zchn1 Char Char Zchn Zchn Char Char"/>
    <w:basedOn w:val="Normal"/>
    <w:rsid w:val="00C173A7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customStyle="1" w:styleId="CharCharCharCharCharCharCharCharCharCharCharCharCharCharCharCharCharCharCharCharChar">
    <w:name w:val=" Char Char Char Char Char Char Char Char Char Char Char Char Char Char Char Char Char Char Char Char Char"/>
    <w:basedOn w:val="Normal"/>
    <w:rsid w:val="000B1892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eastAsia="SimSun" w:hAnsi="Verdana"/>
      <w:szCs w:val="20"/>
      <w:lang w:val="en-US" w:eastAsia="en-US"/>
    </w:rPr>
  </w:style>
  <w:style w:type="paragraph" w:styleId="Corpodetexto2">
    <w:name w:val="Body Text 2"/>
    <w:basedOn w:val="Normal"/>
    <w:rsid w:val="003D72D5"/>
    <w:pPr>
      <w:spacing w:line="480" w:lineRule="auto"/>
    </w:pPr>
  </w:style>
  <w:style w:type="paragraph" w:styleId="ListaColorida-nfase1">
    <w:name w:val="Colorful List Accent 1"/>
    <w:basedOn w:val="Normal"/>
    <w:uiPriority w:val="34"/>
    <w:qFormat/>
    <w:rsid w:val="00BC62E5"/>
    <w:pPr>
      <w:ind w:left="708"/>
    </w:pPr>
  </w:style>
  <w:style w:type="paragraph" w:styleId="PargrafodaLista">
    <w:name w:val="List Paragraph"/>
    <w:basedOn w:val="Normal"/>
    <w:uiPriority w:val="34"/>
    <w:qFormat/>
    <w:rsid w:val="00FE31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932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7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1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652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70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82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107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501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81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09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51">
      <w:bodyDiv w:val="1"/>
      <w:marLeft w:val="561"/>
      <w:marRight w:val="561"/>
      <w:marTop w:val="37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36 - Sumário</vt:lpstr>
      <vt:lpstr>CPC 36 - Sumário</vt:lpstr>
    </vt:vector>
  </TitlesOfParts>
  <Company>..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36 - Sumário</dc:title>
  <dc:creator>TRSR</dc:creator>
  <cp:lastModifiedBy>Flávio</cp:lastModifiedBy>
  <cp:revision>2</cp:revision>
  <cp:lastPrinted>2008-07-18T18:17:00Z</cp:lastPrinted>
  <dcterms:created xsi:type="dcterms:W3CDTF">2015-03-02T18:46:00Z</dcterms:created>
  <dcterms:modified xsi:type="dcterms:W3CDTF">2015-03-02T18:46:00Z</dcterms:modified>
</cp:coreProperties>
</file>